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E365"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2428"/>
        <w:gridCol w:w="10"/>
        <w:gridCol w:w="6396"/>
        <w:gridCol w:w="11"/>
      </w:tblGrid>
      <w:tr w:rsidR="00CE544A" w:rsidRPr="00975B07" w14:paraId="49D1449B" w14:textId="77777777" w:rsidTr="005F7F7E">
        <w:trPr>
          <w:gridAfter w:val="1"/>
          <w:wAfter w:w="11" w:type="dxa"/>
        </w:trPr>
        <w:tc>
          <w:tcPr>
            <w:tcW w:w="2438" w:type="dxa"/>
            <w:gridSpan w:val="2"/>
            <w:shd w:val="clear" w:color="auto" w:fill="auto"/>
          </w:tcPr>
          <w:p w14:paraId="08A6930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796243D5" w14:textId="77777777" w:rsidR="00F445B1" w:rsidRPr="005B3144" w:rsidRDefault="00DB7AD7" w:rsidP="004A6D2F">
            <w:pPr>
              <w:rPr>
                <w:rStyle w:val="Firstpagetablebold"/>
                <w:color w:val="auto"/>
              </w:rPr>
            </w:pPr>
            <w:r w:rsidRPr="005B3144">
              <w:rPr>
                <w:rStyle w:val="Firstpagetablebold"/>
                <w:color w:val="auto"/>
              </w:rPr>
              <w:t>Cabinet</w:t>
            </w:r>
          </w:p>
        </w:tc>
      </w:tr>
      <w:tr w:rsidR="00CE544A" w:rsidRPr="00975B07" w14:paraId="55B039EA" w14:textId="77777777" w:rsidTr="005F7F7E">
        <w:trPr>
          <w:gridAfter w:val="1"/>
          <w:wAfter w:w="11" w:type="dxa"/>
        </w:trPr>
        <w:tc>
          <w:tcPr>
            <w:tcW w:w="2438" w:type="dxa"/>
            <w:gridSpan w:val="2"/>
            <w:shd w:val="clear" w:color="auto" w:fill="auto"/>
          </w:tcPr>
          <w:p w14:paraId="7C41BC75"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00E7BFA8" w14:textId="6B334691" w:rsidR="00F445B1" w:rsidRPr="005B3144" w:rsidRDefault="0048788D" w:rsidP="00A13CAC">
            <w:pPr>
              <w:rPr>
                <w:b/>
                <w:color w:val="auto"/>
              </w:rPr>
            </w:pPr>
            <w:r w:rsidRPr="005B3144">
              <w:rPr>
                <w:rStyle w:val="Firstpagetablebold"/>
                <w:color w:val="auto"/>
              </w:rPr>
              <w:t>1</w:t>
            </w:r>
            <w:r w:rsidR="00773E0F">
              <w:rPr>
                <w:rStyle w:val="Firstpagetablebold"/>
                <w:color w:val="auto"/>
              </w:rPr>
              <w:t>5</w:t>
            </w:r>
            <w:r w:rsidRPr="005B3144">
              <w:rPr>
                <w:rStyle w:val="Firstpagetablebold"/>
                <w:color w:val="auto"/>
                <w:vertAlign w:val="superscript"/>
              </w:rPr>
              <w:t>th</w:t>
            </w:r>
            <w:r w:rsidRPr="005B3144">
              <w:rPr>
                <w:rStyle w:val="Firstpagetablebold"/>
                <w:color w:val="auto"/>
              </w:rPr>
              <w:t xml:space="preserve"> </w:t>
            </w:r>
            <w:r w:rsidR="007C3715">
              <w:rPr>
                <w:rStyle w:val="Firstpagetablebold"/>
                <w:color w:val="auto"/>
              </w:rPr>
              <w:t>June</w:t>
            </w:r>
            <w:r w:rsidR="00432CE4">
              <w:rPr>
                <w:rStyle w:val="Firstpagetablebold"/>
                <w:color w:val="auto"/>
              </w:rPr>
              <w:t xml:space="preserve"> 2022</w:t>
            </w:r>
            <w:r w:rsidRPr="005B3144">
              <w:rPr>
                <w:rStyle w:val="Firstpagetablebold"/>
                <w:color w:val="auto"/>
              </w:rPr>
              <w:t xml:space="preserve"> </w:t>
            </w:r>
          </w:p>
        </w:tc>
      </w:tr>
      <w:tr w:rsidR="00CE544A" w:rsidRPr="00975B07" w14:paraId="4F11CF66" w14:textId="77777777" w:rsidTr="005F7F7E">
        <w:trPr>
          <w:gridAfter w:val="1"/>
          <w:wAfter w:w="11" w:type="dxa"/>
        </w:trPr>
        <w:tc>
          <w:tcPr>
            <w:tcW w:w="2438" w:type="dxa"/>
            <w:gridSpan w:val="2"/>
            <w:shd w:val="clear" w:color="auto" w:fill="auto"/>
          </w:tcPr>
          <w:p w14:paraId="64AAB47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3D9A168" w14:textId="77777777" w:rsidR="00F445B1" w:rsidRPr="001356F1" w:rsidRDefault="00C70D4D" w:rsidP="004A6D2F">
            <w:pPr>
              <w:rPr>
                <w:rStyle w:val="Firstpagetablebold"/>
              </w:rPr>
            </w:pPr>
            <w:r>
              <w:rPr>
                <w:rStyle w:val="Firstpagetablebold"/>
              </w:rPr>
              <w:t>Head of Service Regeneration &amp; Economy</w:t>
            </w:r>
          </w:p>
        </w:tc>
      </w:tr>
      <w:tr w:rsidR="00CE544A" w:rsidRPr="00975B07" w14:paraId="572DE3B3" w14:textId="77777777" w:rsidTr="005F7F7E">
        <w:trPr>
          <w:gridAfter w:val="1"/>
          <w:wAfter w:w="11" w:type="dxa"/>
        </w:trPr>
        <w:tc>
          <w:tcPr>
            <w:tcW w:w="2438" w:type="dxa"/>
            <w:gridSpan w:val="2"/>
            <w:shd w:val="clear" w:color="auto" w:fill="auto"/>
          </w:tcPr>
          <w:p w14:paraId="794E53DE"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79AD3966" w14:textId="6979590E" w:rsidR="00F445B1" w:rsidRDefault="00C70D4D" w:rsidP="004A6D2F">
            <w:pPr>
              <w:rPr>
                <w:rStyle w:val="Firstpagetablebold"/>
              </w:rPr>
            </w:pPr>
            <w:r>
              <w:rPr>
                <w:rStyle w:val="Firstpagetablebold"/>
              </w:rPr>
              <w:t>City Centre Action Plan (Draft) – Consultation Report and Recommendations</w:t>
            </w:r>
          </w:p>
          <w:p w14:paraId="4CF4675B" w14:textId="77777777" w:rsidR="0070291E" w:rsidRPr="001356F1" w:rsidRDefault="0070291E" w:rsidP="004A6D2F">
            <w:pPr>
              <w:rPr>
                <w:rStyle w:val="Firstpagetablebold"/>
              </w:rPr>
            </w:pPr>
          </w:p>
        </w:tc>
      </w:tr>
      <w:tr w:rsidR="00D5547E" w14:paraId="191EE7BD"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4"/>
            <w:tcBorders>
              <w:bottom w:val="single" w:sz="8" w:space="0" w:color="000000"/>
            </w:tcBorders>
            <w:hideMark/>
          </w:tcPr>
          <w:p w14:paraId="10474496"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AD850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single" w:sz="8" w:space="0" w:color="000000"/>
              <w:left w:val="single" w:sz="8" w:space="0" w:color="000000"/>
              <w:bottom w:val="nil"/>
              <w:right w:val="nil"/>
            </w:tcBorders>
            <w:hideMark/>
          </w:tcPr>
          <w:p w14:paraId="51AD0ECF"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71DEA2C" w14:textId="4E8D651A" w:rsidR="00D5547E" w:rsidRPr="001356F1" w:rsidRDefault="0048788D" w:rsidP="00BC077B">
            <w:pPr>
              <w:jc w:val="both"/>
            </w:pPr>
            <w:r>
              <w:t xml:space="preserve">To </w:t>
            </w:r>
            <w:r w:rsidR="00497EF4">
              <w:t>note</w:t>
            </w:r>
            <w:r>
              <w:t xml:space="preserve"> </w:t>
            </w:r>
            <w:r w:rsidR="00BC077B">
              <w:t>the</w:t>
            </w:r>
            <w:r w:rsidR="00263163">
              <w:t xml:space="preserve"> recommended revisions to the</w:t>
            </w:r>
            <w:r w:rsidR="005B3144">
              <w:t xml:space="preserve"> </w:t>
            </w:r>
            <w:r w:rsidR="00BC077B">
              <w:t>Consultation Report</w:t>
            </w:r>
            <w:r>
              <w:t xml:space="preserve"> C</w:t>
            </w:r>
            <w:r w:rsidR="000B12E8">
              <w:t>ity</w:t>
            </w:r>
            <w:r w:rsidR="005B3144">
              <w:t xml:space="preserve"> Centre Action Plan</w:t>
            </w:r>
            <w:r w:rsidR="00263163">
              <w:t xml:space="preserve"> and adopt the Plan</w:t>
            </w:r>
            <w:r w:rsidR="005B3144">
              <w:t>.</w:t>
            </w:r>
          </w:p>
        </w:tc>
      </w:tr>
      <w:tr w:rsidR="00D5547E" w14:paraId="30CCCF4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08D659A8"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223A4744" w14:textId="77777777" w:rsidR="00D5547E" w:rsidRPr="001356F1" w:rsidRDefault="00D5547E" w:rsidP="0048788D">
            <w:r w:rsidRPr="001356F1">
              <w:t xml:space="preserve">Yes </w:t>
            </w:r>
          </w:p>
        </w:tc>
      </w:tr>
      <w:tr w:rsidR="00D5547E" w14:paraId="4188AE4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hideMark/>
          </w:tcPr>
          <w:p w14:paraId="3C379208"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3AEA1732" w14:textId="2CB773A7" w:rsidR="00D5547E" w:rsidRPr="001356F1" w:rsidRDefault="003252BF" w:rsidP="005F7F7E">
            <w:r>
              <w:t>Cllr Imogen Thomas, Cabinet Member for Zero Carbon Oxford and Climate Justice (also CCAP delivery)</w:t>
            </w:r>
          </w:p>
        </w:tc>
      </w:tr>
      <w:tr w:rsidR="0080749A" w14:paraId="2FBCC5D9"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nil"/>
              <w:right w:val="nil"/>
            </w:tcBorders>
          </w:tcPr>
          <w:p w14:paraId="3392E72F"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25BBC68D" w14:textId="77777777" w:rsidR="0080749A" w:rsidRPr="001356F1" w:rsidRDefault="000B12E8" w:rsidP="005F7F7E">
            <w:r>
              <w:t>Enabling an Inclusive Economy</w:t>
            </w:r>
          </w:p>
        </w:tc>
      </w:tr>
      <w:tr w:rsidR="00D5547E" w14:paraId="250709B0" w14:textId="77777777" w:rsidTr="0097170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2"/>
            <w:tcBorders>
              <w:top w:val="nil"/>
              <w:left w:val="single" w:sz="8" w:space="0" w:color="000000"/>
              <w:bottom w:val="single" w:sz="4" w:space="0" w:color="auto"/>
              <w:right w:val="nil"/>
            </w:tcBorders>
            <w:hideMark/>
          </w:tcPr>
          <w:p w14:paraId="77FED944" w14:textId="77777777" w:rsidR="00D5547E" w:rsidRDefault="00D5547E">
            <w:pPr>
              <w:rPr>
                <w:rStyle w:val="Firstpagetablebold"/>
              </w:rPr>
            </w:pPr>
            <w:r>
              <w:rPr>
                <w:rStyle w:val="Firstpagetablebold"/>
              </w:rPr>
              <w:t>Policy Framework:</w:t>
            </w:r>
          </w:p>
        </w:tc>
        <w:tc>
          <w:tcPr>
            <w:tcW w:w="6407" w:type="dxa"/>
            <w:gridSpan w:val="2"/>
            <w:tcBorders>
              <w:top w:val="nil"/>
              <w:left w:val="nil"/>
              <w:bottom w:val="single" w:sz="4" w:space="0" w:color="auto"/>
              <w:right w:val="single" w:sz="8" w:space="0" w:color="000000"/>
            </w:tcBorders>
            <w:hideMark/>
          </w:tcPr>
          <w:p w14:paraId="06E1F1D4" w14:textId="09D72D91" w:rsidR="00D5547E" w:rsidRPr="001356F1" w:rsidRDefault="000B12E8" w:rsidP="00FB5507">
            <w:r>
              <w:t>C</w:t>
            </w:r>
            <w:r w:rsidR="00FB5507">
              <w:t>ouncil</w:t>
            </w:r>
            <w:r>
              <w:t xml:space="preserve"> Strategy</w:t>
            </w:r>
            <w:r w:rsidR="00FB5507">
              <w:t xml:space="preserve"> 2020-24</w:t>
            </w:r>
            <w:r>
              <w:t xml:space="preserve"> </w:t>
            </w:r>
          </w:p>
        </w:tc>
      </w:tr>
    </w:tbl>
    <w:p w14:paraId="1A0B7D35"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3326526B" w14:textId="77777777" w:rsidTr="00FB6E8F">
        <w:trPr>
          <w:trHeight w:val="413"/>
        </w:trPr>
        <w:tc>
          <w:tcPr>
            <w:tcW w:w="8845" w:type="dxa"/>
            <w:gridSpan w:val="2"/>
            <w:tcBorders>
              <w:bottom w:val="single" w:sz="8" w:space="0" w:color="000000"/>
            </w:tcBorders>
          </w:tcPr>
          <w:p w14:paraId="45CF0CAE" w14:textId="77777777" w:rsidR="0097170F" w:rsidRPr="00975B07" w:rsidRDefault="0097170F" w:rsidP="00FB6E8F">
            <w:r>
              <w:rPr>
                <w:rStyle w:val="Firstpagetablebold"/>
              </w:rPr>
              <w:t>Recommendation(s):</w:t>
            </w:r>
            <w:r w:rsidRPr="008954DF">
              <w:rPr>
                <w:rStyle w:val="Firstpagetablebold"/>
                <w:b w:val="0"/>
              </w:rPr>
              <w:t>That Cabinet resolves to:</w:t>
            </w:r>
          </w:p>
        </w:tc>
      </w:tr>
      <w:tr w:rsidR="0097170F" w:rsidRPr="00975B07" w14:paraId="2CF8FA34" w14:textId="77777777" w:rsidTr="00FB6E8F">
        <w:trPr>
          <w:trHeight w:val="283"/>
        </w:trPr>
        <w:tc>
          <w:tcPr>
            <w:tcW w:w="426" w:type="dxa"/>
            <w:tcBorders>
              <w:top w:val="single" w:sz="8" w:space="0" w:color="000000"/>
              <w:left w:val="single" w:sz="8" w:space="0" w:color="000000"/>
              <w:bottom w:val="nil"/>
              <w:right w:val="nil"/>
            </w:tcBorders>
          </w:tcPr>
          <w:p w14:paraId="6034993A" w14:textId="77777777" w:rsidR="0097170F" w:rsidRPr="00975B07" w:rsidRDefault="0097170F" w:rsidP="00FB6E8F">
            <w:r w:rsidRPr="00975B07">
              <w:t>1.</w:t>
            </w:r>
          </w:p>
        </w:tc>
        <w:tc>
          <w:tcPr>
            <w:tcW w:w="8419" w:type="dxa"/>
            <w:tcBorders>
              <w:top w:val="single" w:sz="8" w:space="0" w:color="000000"/>
              <w:left w:val="nil"/>
              <w:bottom w:val="nil"/>
              <w:right w:val="single" w:sz="8" w:space="0" w:color="000000"/>
            </w:tcBorders>
            <w:shd w:val="clear" w:color="auto" w:fill="auto"/>
          </w:tcPr>
          <w:p w14:paraId="5CE7356A" w14:textId="5D147DE6" w:rsidR="0097170F" w:rsidRPr="001356F1" w:rsidRDefault="009C7CB9" w:rsidP="00691BC4">
            <w:r>
              <w:rPr>
                <w:rStyle w:val="Firstpagetablebold"/>
              </w:rPr>
              <w:t>That the Cabinet notes the recommended changes to the Consultation version of the City Centre Acti</w:t>
            </w:r>
            <w:r w:rsidR="00691BC4">
              <w:rPr>
                <w:rStyle w:val="Firstpagetablebold"/>
              </w:rPr>
              <w:t>o</w:t>
            </w:r>
            <w:r>
              <w:rPr>
                <w:rStyle w:val="Firstpagetablebold"/>
              </w:rPr>
              <w:t>n Plan</w:t>
            </w:r>
            <w:r w:rsidR="00691BC4">
              <w:rPr>
                <w:rStyle w:val="Firstpagetablebold"/>
              </w:rPr>
              <w:t xml:space="preserve"> as set out in with Appendix 3.</w:t>
            </w:r>
          </w:p>
        </w:tc>
      </w:tr>
      <w:tr w:rsidR="0097170F" w:rsidRPr="00975B07" w14:paraId="37D18F73" w14:textId="77777777" w:rsidTr="00FB6E8F">
        <w:trPr>
          <w:trHeight w:val="283"/>
        </w:trPr>
        <w:tc>
          <w:tcPr>
            <w:tcW w:w="426" w:type="dxa"/>
            <w:tcBorders>
              <w:top w:val="nil"/>
              <w:left w:val="single" w:sz="8" w:space="0" w:color="000000"/>
              <w:bottom w:val="nil"/>
              <w:right w:val="nil"/>
            </w:tcBorders>
          </w:tcPr>
          <w:p w14:paraId="1EC69DDD" w14:textId="45552158" w:rsidR="0097170F" w:rsidRPr="00975B07" w:rsidRDefault="00880C8B" w:rsidP="00FB6E8F">
            <w:r>
              <w:t>2.</w:t>
            </w:r>
          </w:p>
        </w:tc>
        <w:tc>
          <w:tcPr>
            <w:tcW w:w="8419" w:type="dxa"/>
            <w:tcBorders>
              <w:top w:val="nil"/>
              <w:left w:val="nil"/>
              <w:bottom w:val="nil"/>
              <w:right w:val="single" w:sz="8" w:space="0" w:color="000000"/>
            </w:tcBorders>
            <w:shd w:val="clear" w:color="auto" w:fill="auto"/>
          </w:tcPr>
          <w:p w14:paraId="44A2E254" w14:textId="5B18DF04" w:rsidR="0097170F" w:rsidRPr="001356F1" w:rsidRDefault="004332DA" w:rsidP="002141BC">
            <w:r>
              <w:rPr>
                <w:b/>
                <w:lang w:val="en"/>
              </w:rPr>
              <w:t>A</w:t>
            </w:r>
            <w:r w:rsidR="00BC077B" w:rsidRPr="00584365">
              <w:rPr>
                <w:b/>
                <w:lang w:val="en"/>
              </w:rPr>
              <w:t xml:space="preserve">grees to adopt </w:t>
            </w:r>
            <w:r w:rsidR="00BC077B">
              <w:rPr>
                <w:b/>
                <w:lang w:val="en"/>
              </w:rPr>
              <w:t>and publish</w:t>
            </w:r>
            <w:r w:rsidR="009C7CB9">
              <w:rPr>
                <w:b/>
                <w:lang w:val="en"/>
              </w:rPr>
              <w:t xml:space="preserve"> the</w:t>
            </w:r>
            <w:r w:rsidR="003126AC">
              <w:rPr>
                <w:b/>
                <w:lang w:val="en"/>
              </w:rPr>
              <w:t xml:space="preserve"> revised</w:t>
            </w:r>
            <w:r w:rsidR="00BC077B">
              <w:rPr>
                <w:b/>
                <w:lang w:val="en"/>
              </w:rPr>
              <w:t xml:space="preserve"> </w:t>
            </w:r>
            <w:r w:rsidR="00BC077B" w:rsidRPr="00584365">
              <w:rPr>
                <w:b/>
                <w:lang w:val="en"/>
              </w:rPr>
              <w:t xml:space="preserve">Oxford </w:t>
            </w:r>
            <w:r w:rsidR="00BC077B">
              <w:rPr>
                <w:b/>
                <w:lang w:val="en"/>
              </w:rPr>
              <w:t>City Centre Action Plan</w:t>
            </w:r>
            <w:r w:rsidR="009C7CB9">
              <w:rPr>
                <w:b/>
                <w:lang w:val="en"/>
              </w:rPr>
              <w:t>.</w:t>
            </w:r>
          </w:p>
        </w:tc>
      </w:tr>
      <w:tr w:rsidR="00811F99" w:rsidRPr="00975B07" w14:paraId="4F1D6203" w14:textId="77777777" w:rsidTr="00FB6E8F">
        <w:trPr>
          <w:trHeight w:val="283"/>
        </w:trPr>
        <w:tc>
          <w:tcPr>
            <w:tcW w:w="426" w:type="dxa"/>
            <w:tcBorders>
              <w:top w:val="nil"/>
              <w:left w:val="single" w:sz="8" w:space="0" w:color="000000"/>
              <w:bottom w:val="single" w:sz="8" w:space="0" w:color="000000"/>
              <w:right w:val="nil"/>
            </w:tcBorders>
          </w:tcPr>
          <w:p w14:paraId="44ACF4F4" w14:textId="23B09E6D" w:rsidR="00811F99" w:rsidRPr="00975B07" w:rsidRDefault="00811F99" w:rsidP="00FB6E8F"/>
        </w:tc>
        <w:tc>
          <w:tcPr>
            <w:tcW w:w="8419" w:type="dxa"/>
            <w:tcBorders>
              <w:top w:val="nil"/>
              <w:left w:val="nil"/>
              <w:bottom w:val="single" w:sz="8" w:space="0" w:color="000000"/>
              <w:right w:val="single" w:sz="8" w:space="0" w:color="000000"/>
            </w:tcBorders>
            <w:shd w:val="clear" w:color="auto" w:fill="auto"/>
          </w:tcPr>
          <w:p w14:paraId="79C9D5D6" w14:textId="77777777" w:rsidR="00811F99" w:rsidRPr="001356F1" w:rsidRDefault="00811F99" w:rsidP="00BC077B"/>
        </w:tc>
      </w:tr>
    </w:tbl>
    <w:p w14:paraId="3545DCE4" w14:textId="77777777" w:rsidR="0097170F" w:rsidRDefault="0097170F" w:rsidP="004A6D2F"/>
    <w:p w14:paraId="5437DB76" w14:textId="77777777" w:rsidR="0087491B" w:rsidRPr="009E51FC" w:rsidRDefault="0087491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6835"/>
      </w:tblGrid>
      <w:tr w:rsidR="00966D42" w:rsidRPr="00975B07" w14:paraId="412CB314"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7DEB2664" w14:textId="77777777" w:rsidR="00966D42" w:rsidRPr="00975B07" w:rsidRDefault="00966D42" w:rsidP="00263EA3">
            <w:pPr>
              <w:jc w:val="center"/>
            </w:pPr>
            <w:r w:rsidRPr="00745BF0">
              <w:rPr>
                <w:rStyle w:val="Firstpagetablebold"/>
              </w:rPr>
              <w:t>Appendices</w:t>
            </w:r>
          </w:p>
        </w:tc>
      </w:tr>
      <w:tr w:rsidR="00ED5860" w:rsidRPr="00975B07" w14:paraId="24E1FDB3" w14:textId="77777777" w:rsidTr="0070291E">
        <w:tc>
          <w:tcPr>
            <w:tcW w:w="2009" w:type="dxa"/>
            <w:tcBorders>
              <w:top w:val="nil"/>
              <w:left w:val="single" w:sz="8" w:space="0" w:color="000000"/>
              <w:bottom w:val="nil"/>
              <w:right w:val="nil"/>
            </w:tcBorders>
            <w:shd w:val="clear" w:color="auto" w:fill="auto"/>
          </w:tcPr>
          <w:p w14:paraId="1C596D63" w14:textId="481C1D9E" w:rsidR="00ED5860" w:rsidRPr="00975B07" w:rsidRDefault="0030208D" w:rsidP="004A6D2F">
            <w:r w:rsidRPr="00975B07">
              <w:t xml:space="preserve">Appendix </w:t>
            </w:r>
            <w:r w:rsidR="00BC077B">
              <w:t>1</w:t>
            </w:r>
          </w:p>
        </w:tc>
        <w:tc>
          <w:tcPr>
            <w:tcW w:w="6835" w:type="dxa"/>
            <w:tcBorders>
              <w:top w:val="nil"/>
              <w:left w:val="nil"/>
              <w:bottom w:val="nil"/>
              <w:right w:val="single" w:sz="8" w:space="0" w:color="000000"/>
            </w:tcBorders>
          </w:tcPr>
          <w:p w14:paraId="2DC620B8" w14:textId="1E1EAC42" w:rsidR="00ED5860" w:rsidRPr="001356F1" w:rsidRDefault="00C937F7" w:rsidP="009C7CB9">
            <w:r>
              <w:t xml:space="preserve">Oxford City Centre Action Plan – </w:t>
            </w:r>
            <w:r w:rsidR="009C7CB9">
              <w:t>Final version</w:t>
            </w:r>
            <w:r w:rsidR="00D22896">
              <w:t xml:space="preserve"> for adoption</w:t>
            </w:r>
          </w:p>
        </w:tc>
      </w:tr>
      <w:tr w:rsidR="0030208D" w:rsidRPr="00975B07" w14:paraId="52E95671" w14:textId="77777777" w:rsidTr="0070291E">
        <w:tc>
          <w:tcPr>
            <w:tcW w:w="2009" w:type="dxa"/>
            <w:tcBorders>
              <w:top w:val="nil"/>
              <w:left w:val="single" w:sz="8" w:space="0" w:color="000000"/>
              <w:bottom w:val="single" w:sz="8" w:space="0" w:color="000000"/>
              <w:right w:val="nil"/>
            </w:tcBorders>
            <w:shd w:val="clear" w:color="auto" w:fill="auto"/>
          </w:tcPr>
          <w:p w14:paraId="0CC137C8" w14:textId="77777777" w:rsidR="0030208D" w:rsidRDefault="0030208D" w:rsidP="004A6D2F">
            <w:r w:rsidRPr="00975B07">
              <w:t xml:space="preserve">Appendix </w:t>
            </w:r>
            <w:r w:rsidR="00BC077B">
              <w:t>2</w:t>
            </w:r>
          </w:p>
          <w:p w14:paraId="53E2CEF8" w14:textId="77777777" w:rsidR="008E5E4E" w:rsidRDefault="008E5E4E" w:rsidP="004A6D2F">
            <w:r>
              <w:lastRenderedPageBreak/>
              <w:t>Appendix 3</w:t>
            </w:r>
          </w:p>
          <w:p w14:paraId="1FAEAB4D" w14:textId="77777777" w:rsidR="00B2463F" w:rsidRDefault="00B2463F" w:rsidP="004A6D2F">
            <w:r>
              <w:t>Appendix 4</w:t>
            </w:r>
          </w:p>
          <w:p w14:paraId="2A9D9700" w14:textId="77777777" w:rsidR="00B2463F" w:rsidRDefault="00B2463F" w:rsidP="004A6D2F">
            <w:r>
              <w:t>Appendix 5</w:t>
            </w:r>
          </w:p>
          <w:p w14:paraId="57B2D0C5" w14:textId="42C06D63" w:rsidR="006A6ED5" w:rsidRPr="00975B07" w:rsidRDefault="00B2463F" w:rsidP="00FB5507">
            <w:r>
              <w:t>Appendix 6</w:t>
            </w:r>
          </w:p>
        </w:tc>
        <w:tc>
          <w:tcPr>
            <w:tcW w:w="6835" w:type="dxa"/>
            <w:tcBorders>
              <w:top w:val="nil"/>
              <w:left w:val="nil"/>
              <w:bottom w:val="single" w:sz="8" w:space="0" w:color="000000"/>
              <w:right w:val="single" w:sz="8" w:space="0" w:color="000000"/>
            </w:tcBorders>
          </w:tcPr>
          <w:p w14:paraId="4E6B7DAD" w14:textId="77777777" w:rsidR="008E5E4E" w:rsidRDefault="00C937F7" w:rsidP="004A6D2F">
            <w:r>
              <w:lastRenderedPageBreak/>
              <w:t>Consultation Report – Oxford City Centre Action Plan</w:t>
            </w:r>
          </w:p>
          <w:p w14:paraId="14339653" w14:textId="77777777" w:rsidR="008E5E4E" w:rsidRDefault="00B2463F" w:rsidP="004A6D2F">
            <w:r>
              <w:lastRenderedPageBreak/>
              <w:t>Proposed Amendments to the City Centre Action Plan</w:t>
            </w:r>
          </w:p>
          <w:p w14:paraId="202D9917" w14:textId="0B6A80BF" w:rsidR="00B2463F" w:rsidRDefault="00B2463F" w:rsidP="004A6D2F">
            <w:r>
              <w:t>Risk Assessment</w:t>
            </w:r>
          </w:p>
          <w:p w14:paraId="24425474" w14:textId="4EEA6CFF" w:rsidR="00B2463F" w:rsidRDefault="00B2463F" w:rsidP="004A6D2F">
            <w:r>
              <w:t>Equalities impact</w:t>
            </w:r>
          </w:p>
          <w:p w14:paraId="01FFF1BB" w14:textId="3B26E60B" w:rsidR="006A6ED5" w:rsidRPr="001356F1" w:rsidRDefault="006A6ED5" w:rsidP="004A6D2F">
            <w:r>
              <w:t>Project Delivery</w:t>
            </w:r>
          </w:p>
        </w:tc>
      </w:tr>
    </w:tbl>
    <w:p w14:paraId="5D2773FB" w14:textId="77777777" w:rsidR="00FB5507" w:rsidRDefault="00FB5507" w:rsidP="004A6D2F">
      <w:pPr>
        <w:pStyle w:val="Heading1"/>
      </w:pPr>
    </w:p>
    <w:p w14:paraId="5CA62024" w14:textId="2F54D948" w:rsidR="0040736F" w:rsidRPr="001356F1" w:rsidRDefault="00F66DCA" w:rsidP="004A6D2F">
      <w:pPr>
        <w:pStyle w:val="Heading1"/>
      </w:pPr>
      <w:bookmarkStart w:id="0" w:name="_GoBack"/>
      <w:bookmarkEnd w:id="0"/>
      <w:r w:rsidRPr="001356F1">
        <w:t>Introduction and b</w:t>
      </w:r>
      <w:r w:rsidR="00151888" w:rsidRPr="001356F1">
        <w:t>ackground</w:t>
      </w:r>
      <w:r w:rsidR="00404032" w:rsidRPr="001356F1">
        <w:t xml:space="preserve"> </w:t>
      </w:r>
    </w:p>
    <w:p w14:paraId="6C2BF5EB" w14:textId="171F6F8A" w:rsidR="00C937F7" w:rsidRDefault="00A52ADA" w:rsidP="005016ED">
      <w:pPr>
        <w:pStyle w:val="ListParagraph"/>
        <w:jc w:val="both"/>
      </w:pPr>
      <w:r>
        <w:t>Oxford City Council</w:t>
      </w:r>
      <w:r w:rsidR="00C937F7" w:rsidRPr="00C937F7">
        <w:t xml:space="preserve"> </w:t>
      </w:r>
      <w:r w:rsidR="00497EF4">
        <w:t>led the c</w:t>
      </w:r>
      <w:r w:rsidR="00BC077B">
        <w:t xml:space="preserve">ommissioning and preparation of the </w:t>
      </w:r>
      <w:r w:rsidR="00C937F7">
        <w:t>City Centre Action Plan</w:t>
      </w:r>
      <w:r w:rsidR="00BC077B">
        <w:t xml:space="preserve"> (CCAP), </w:t>
      </w:r>
      <w:r w:rsidR="00497EF4">
        <w:t>published</w:t>
      </w:r>
      <w:r w:rsidR="0070291E">
        <w:t xml:space="preserve"> as</w:t>
      </w:r>
      <w:r w:rsidR="00497EF4">
        <w:t xml:space="preserve"> </w:t>
      </w:r>
      <w:r w:rsidR="00D22896">
        <w:t xml:space="preserve">a </w:t>
      </w:r>
      <w:r w:rsidR="00C937F7">
        <w:t>Consultation Draft</w:t>
      </w:r>
      <w:r w:rsidR="0070291E">
        <w:t xml:space="preserve"> on </w:t>
      </w:r>
      <w:r w:rsidR="00D22896">
        <w:t>22</w:t>
      </w:r>
      <w:r w:rsidR="00D22896" w:rsidRPr="00D22896">
        <w:rPr>
          <w:vertAlign w:val="superscript"/>
        </w:rPr>
        <w:t>nd</w:t>
      </w:r>
      <w:r w:rsidR="00D22896">
        <w:t xml:space="preserve"> November</w:t>
      </w:r>
      <w:r w:rsidR="0070291E">
        <w:t>2021</w:t>
      </w:r>
      <w:r w:rsidR="00EA6C14">
        <w:t xml:space="preserve"> (see Appendix 1)</w:t>
      </w:r>
      <w:r w:rsidR="00C937F7">
        <w:t>. T</w:t>
      </w:r>
      <w:r w:rsidR="00C937F7" w:rsidRPr="00C937F7">
        <w:t xml:space="preserve">he Council has engaged widely with stakeholders and the community. </w:t>
      </w:r>
      <w:r>
        <w:t>The CCAP is</w:t>
      </w:r>
      <w:r w:rsidR="0087491B">
        <w:t xml:space="preserve"> intended </w:t>
      </w:r>
      <w:r w:rsidR="00497EF4">
        <w:t>to be</w:t>
      </w:r>
      <w:r w:rsidR="00C937F7">
        <w:t xml:space="preserve"> </w:t>
      </w:r>
      <w:r>
        <w:t xml:space="preserve">a </w:t>
      </w:r>
      <w:r w:rsidR="00C937F7">
        <w:t>stakeholder owned</w:t>
      </w:r>
      <w:r>
        <w:t xml:space="preserve"> plan,</w:t>
      </w:r>
      <w:r w:rsidR="00C937F7">
        <w:t xml:space="preserve"> </w:t>
      </w:r>
      <w:r w:rsidR="002309AC">
        <w:t>which</w:t>
      </w:r>
      <w:r>
        <w:t xml:space="preserve"> will</w:t>
      </w:r>
      <w:r w:rsidR="00C937F7" w:rsidRPr="00C937F7">
        <w:t xml:space="preserve"> guide a par</w:t>
      </w:r>
      <w:r w:rsidR="00BC077B">
        <w:t>tnership approach to the future of</w:t>
      </w:r>
      <w:r w:rsidR="00C937F7" w:rsidRPr="00C937F7">
        <w:t xml:space="preserve"> City Centre</w:t>
      </w:r>
      <w:r w:rsidR="0087491B">
        <w:t xml:space="preserve"> Management</w:t>
      </w:r>
      <w:r w:rsidR="00BC077B">
        <w:t>. It is acknowledged that the</w:t>
      </w:r>
      <w:r w:rsidR="00C937F7">
        <w:t xml:space="preserve"> CCA</w:t>
      </w:r>
      <w:r w:rsidR="0087491B">
        <w:t xml:space="preserve">P </w:t>
      </w:r>
      <w:r w:rsidR="00C937F7" w:rsidRPr="00C937F7">
        <w:t xml:space="preserve">cannot be </w:t>
      </w:r>
      <w:r w:rsidR="0087491B">
        <w:t>delivered in isolation and seek</w:t>
      </w:r>
      <w:r w:rsidR="00BC077B">
        <w:t>s</w:t>
      </w:r>
      <w:r w:rsidR="00C937F7" w:rsidRPr="00C937F7">
        <w:t xml:space="preserve"> collaboration across stakeholders and the community.</w:t>
      </w:r>
    </w:p>
    <w:p w14:paraId="6D862756" w14:textId="454DBB4C" w:rsidR="00C937F7" w:rsidRDefault="00BC077B" w:rsidP="005016ED">
      <w:pPr>
        <w:pStyle w:val="ListParagraph"/>
        <w:jc w:val="both"/>
      </w:pPr>
      <w:r>
        <w:t>The report was</w:t>
      </w:r>
      <w:r w:rsidR="00C937F7">
        <w:t xml:space="preserve"> first commissioned in </w:t>
      </w:r>
      <w:r>
        <w:t>late 2019. It was</w:t>
      </w:r>
      <w:r w:rsidR="0087491B">
        <w:t xml:space="preserve"> paused in s</w:t>
      </w:r>
      <w:r w:rsidR="00C937F7">
        <w:t>pring 2020 to prioritise the Council’s response to</w:t>
      </w:r>
      <w:r>
        <w:t xml:space="preserve"> the Pandemic and to adjust the CCAP</w:t>
      </w:r>
      <w:r w:rsidR="00C937F7">
        <w:t xml:space="preserve"> following the significant societal and economic impa</w:t>
      </w:r>
      <w:r w:rsidR="005016ED">
        <w:t>cts b</w:t>
      </w:r>
      <w:r>
        <w:t>r</w:t>
      </w:r>
      <w:r w:rsidR="005016ED">
        <w:t>ought about.</w:t>
      </w:r>
      <w:r w:rsidR="00A42416">
        <w:t xml:space="preserve"> To assist with prepari</w:t>
      </w:r>
      <w:r>
        <w:t>ng the document,</w:t>
      </w:r>
      <w:r w:rsidR="00A42416">
        <w:t xml:space="preserve"> the</w:t>
      </w:r>
      <w:r>
        <w:t xml:space="preserve"> </w:t>
      </w:r>
      <w:r w:rsidR="00940B20">
        <w:t>opinions of the</w:t>
      </w:r>
      <w:r w:rsidR="00A52ADA">
        <w:t xml:space="preserve"> City Centre Task Force were</w:t>
      </w:r>
      <w:r w:rsidR="00A42416">
        <w:t xml:space="preserve"> sought.</w:t>
      </w:r>
      <w:r w:rsidR="00940B20">
        <w:t xml:space="preserve"> The City Centre Task Force is an advisory group</w:t>
      </w:r>
      <w:r w:rsidR="0070291E">
        <w:t xml:space="preserve"> consisting of representatives from businesses, and anchor institutions.</w:t>
      </w:r>
    </w:p>
    <w:p w14:paraId="6D683C62" w14:textId="5696D4E0" w:rsidR="005016ED" w:rsidRDefault="0087491B" w:rsidP="0070291E">
      <w:pPr>
        <w:pStyle w:val="ListParagraph"/>
        <w:jc w:val="both"/>
      </w:pPr>
      <w:r>
        <w:t>The CCAP was d</w:t>
      </w:r>
      <w:r w:rsidR="005016ED">
        <w:t>eveloped with partners and stakeho</w:t>
      </w:r>
      <w:r w:rsidR="00A42416">
        <w:t>lders, with the objective of</w:t>
      </w:r>
      <w:r w:rsidR="005016ED">
        <w:t xml:space="preserve"> identifying a set of actions that w</w:t>
      </w:r>
      <w:r w:rsidR="00DE50F0">
        <w:t>ill</w:t>
      </w:r>
      <w:r w:rsidR="005016ED">
        <w:t xml:space="preserve"> strengt</w:t>
      </w:r>
      <w:r w:rsidR="00A52ADA">
        <w:t>hen the resilience of our City C</w:t>
      </w:r>
      <w:r w:rsidR="005016ED">
        <w:t>entre</w:t>
      </w:r>
      <w:r>
        <w:t xml:space="preserve"> over the next ten years</w:t>
      </w:r>
      <w:r w:rsidR="005016ED">
        <w:t>. The CCAP focuses on four work</w:t>
      </w:r>
      <w:r w:rsidR="00DE50F0">
        <w:t>-</w:t>
      </w:r>
      <w:r w:rsidR="005016ED">
        <w:t>stre</w:t>
      </w:r>
      <w:r w:rsidR="00A52ADA">
        <w:t>ams, each intended to focus on</w:t>
      </w:r>
      <w:r w:rsidR="005016ED">
        <w:t xml:space="preserve"> different thematic area</w:t>
      </w:r>
      <w:r w:rsidR="00A52ADA">
        <w:t>s</w:t>
      </w:r>
      <w:r w:rsidR="005016ED">
        <w:t xml:space="preserve"> of work</w:t>
      </w:r>
      <w:r w:rsidR="00A52ADA">
        <w:t>, these are:</w:t>
      </w:r>
    </w:p>
    <w:p w14:paraId="52E16998" w14:textId="77777777" w:rsidR="005016ED" w:rsidRDefault="005016ED" w:rsidP="0070291E">
      <w:pPr>
        <w:pStyle w:val="ListParagraph"/>
        <w:numPr>
          <w:ilvl w:val="1"/>
          <w:numId w:val="14"/>
        </w:numPr>
        <w:jc w:val="both"/>
      </w:pPr>
      <w:r>
        <w:t>Connectivity &amp; Access</w:t>
      </w:r>
    </w:p>
    <w:p w14:paraId="2C9CDEEF" w14:textId="77777777" w:rsidR="005016ED" w:rsidRDefault="005016ED" w:rsidP="0070291E">
      <w:pPr>
        <w:pStyle w:val="ListParagraph"/>
        <w:numPr>
          <w:ilvl w:val="1"/>
          <w:numId w:val="14"/>
        </w:numPr>
        <w:jc w:val="both"/>
      </w:pPr>
      <w:r>
        <w:t>Getting the Mix Right</w:t>
      </w:r>
    </w:p>
    <w:p w14:paraId="19215430" w14:textId="77777777" w:rsidR="005016ED" w:rsidRDefault="005016ED" w:rsidP="0070291E">
      <w:pPr>
        <w:pStyle w:val="ListParagraph"/>
        <w:numPr>
          <w:ilvl w:val="1"/>
          <w:numId w:val="14"/>
        </w:numPr>
        <w:jc w:val="both"/>
      </w:pPr>
      <w:r>
        <w:t>Public Realm &amp; Animation</w:t>
      </w:r>
    </w:p>
    <w:p w14:paraId="2EA7755A" w14:textId="77777777" w:rsidR="00497EF4" w:rsidRDefault="005016ED" w:rsidP="0070291E">
      <w:pPr>
        <w:pStyle w:val="ListParagraph"/>
        <w:numPr>
          <w:ilvl w:val="1"/>
          <w:numId w:val="14"/>
        </w:numPr>
        <w:jc w:val="both"/>
      </w:pPr>
      <w:r>
        <w:t>Getting the Basics Right</w:t>
      </w:r>
      <w:r w:rsidR="00A42416">
        <w:t>.</w:t>
      </w:r>
    </w:p>
    <w:p w14:paraId="694DD536" w14:textId="2EDE7EB3" w:rsidR="007F5DC9" w:rsidRDefault="00940B20" w:rsidP="0070291E">
      <w:pPr>
        <w:pStyle w:val="ListParagraph"/>
        <w:jc w:val="both"/>
      </w:pPr>
      <w:r>
        <w:t>The CCAP has</w:t>
      </w:r>
      <w:r w:rsidR="005016ED">
        <w:t xml:space="preserve"> been</w:t>
      </w:r>
      <w:r>
        <w:t xml:space="preserve"> the</w:t>
      </w:r>
      <w:r w:rsidR="005016ED">
        <w:t xml:space="preserve"> subject of a public consultation running from </w:t>
      </w:r>
      <w:r w:rsidR="00B56675">
        <w:t xml:space="preserve">22 </w:t>
      </w:r>
      <w:r w:rsidR="005016ED">
        <w:t>Nov</w:t>
      </w:r>
      <w:r w:rsidR="00B56675">
        <w:t>ember</w:t>
      </w:r>
      <w:r w:rsidR="005016ED">
        <w:t xml:space="preserve"> 2021 to 19</w:t>
      </w:r>
      <w:r w:rsidR="005016ED" w:rsidRPr="00497EF4">
        <w:rPr>
          <w:vertAlign w:val="superscript"/>
        </w:rPr>
        <w:t>th</w:t>
      </w:r>
      <w:r w:rsidR="00497EF4">
        <w:t xml:space="preserve"> January 2022</w:t>
      </w:r>
      <w:r w:rsidR="007F5DC9">
        <w:t>.</w:t>
      </w:r>
    </w:p>
    <w:p w14:paraId="0C3B2F7B" w14:textId="77777777" w:rsidR="009C7CB9" w:rsidRDefault="009C7CB9" w:rsidP="003E2636">
      <w:pPr>
        <w:jc w:val="both"/>
      </w:pPr>
    </w:p>
    <w:p w14:paraId="638F1C5D" w14:textId="75C3F8B7" w:rsidR="00832C9B" w:rsidRPr="00832C9B" w:rsidRDefault="00832C9B" w:rsidP="00832C9B">
      <w:pPr>
        <w:jc w:val="both"/>
        <w:rPr>
          <w:b/>
        </w:rPr>
      </w:pPr>
      <w:r w:rsidRPr="00832C9B">
        <w:rPr>
          <w:b/>
        </w:rPr>
        <w:t>Summary of the consultation process on the Oxford City Centre Action Plan</w:t>
      </w:r>
    </w:p>
    <w:p w14:paraId="09DB5F03" w14:textId="2C269B42" w:rsidR="004C503A" w:rsidRDefault="000876A6" w:rsidP="004C503A">
      <w:pPr>
        <w:pStyle w:val="ListParagraph"/>
        <w:jc w:val="both"/>
      </w:pPr>
      <w:r>
        <w:t>The consultation process was launched on the 22 November 2021, and closed on the 19 January 2022. The consultation consisted of a blend of methods, including one to one meetings, workshops, consultation ev</w:t>
      </w:r>
      <w:r w:rsidR="003510E5">
        <w:t>ents</w:t>
      </w:r>
      <w:r w:rsidR="00A52ADA">
        <w:t xml:space="preserve"> (see Table 1,</w:t>
      </w:r>
      <w:r>
        <w:t xml:space="preserve"> below) and a questionnaire. By the end of the consultation period </w:t>
      </w:r>
      <w:r w:rsidRPr="003510E5">
        <w:t>398 responses were received; 389 via the online portal and nine by email</w:t>
      </w:r>
      <w:r>
        <w:t>.</w:t>
      </w:r>
    </w:p>
    <w:p w14:paraId="601F0672" w14:textId="77777777" w:rsidR="004C503A" w:rsidRDefault="004C503A" w:rsidP="004C503A">
      <w:pPr>
        <w:ind w:left="142"/>
        <w:jc w:val="both"/>
      </w:pPr>
    </w:p>
    <w:p w14:paraId="711EB001" w14:textId="1CADB02D" w:rsidR="000876A6" w:rsidRDefault="000876A6" w:rsidP="00DE50F0">
      <w:pPr>
        <w:ind w:left="426" w:hanging="426"/>
        <w:jc w:val="both"/>
      </w:pPr>
      <w:r>
        <w:t xml:space="preserve">Table </w:t>
      </w:r>
      <w:r w:rsidR="00A52ADA">
        <w:t>1</w:t>
      </w:r>
      <w:r w:rsidRPr="003510E5">
        <w:t>:</w:t>
      </w:r>
      <w:r w:rsidR="003510E5">
        <w:t xml:space="preserve"> </w:t>
      </w:r>
      <w:r w:rsidR="003510E5" w:rsidRPr="003E2636">
        <w:rPr>
          <w:b/>
        </w:rPr>
        <w:t>CCAP c</w:t>
      </w:r>
      <w:r w:rsidRPr="003E2636">
        <w:rPr>
          <w:b/>
        </w:rPr>
        <w:t>onsultation events</w:t>
      </w:r>
    </w:p>
    <w:tbl>
      <w:tblPr>
        <w:tblStyle w:val="TableGrid"/>
        <w:tblW w:w="0" w:type="auto"/>
        <w:tblLook w:val="04A0" w:firstRow="1" w:lastRow="0" w:firstColumn="1" w:lastColumn="0" w:noHBand="0" w:noVBand="1"/>
      </w:tblPr>
      <w:tblGrid>
        <w:gridCol w:w="5098"/>
        <w:gridCol w:w="1418"/>
        <w:gridCol w:w="2693"/>
      </w:tblGrid>
      <w:tr w:rsidR="004C503A" w14:paraId="0324FABE" w14:textId="77777777" w:rsidTr="004C503A">
        <w:tc>
          <w:tcPr>
            <w:tcW w:w="5098" w:type="dxa"/>
          </w:tcPr>
          <w:p w14:paraId="1951F910" w14:textId="5E403CCE" w:rsidR="004C503A" w:rsidRPr="004C503A" w:rsidRDefault="004C503A" w:rsidP="00B56675">
            <w:pPr>
              <w:jc w:val="both"/>
              <w:rPr>
                <w:rFonts w:cs="Arial"/>
                <w:b/>
              </w:rPr>
            </w:pPr>
            <w:r w:rsidRPr="004C503A">
              <w:rPr>
                <w:rFonts w:cs="Arial"/>
                <w:b/>
              </w:rPr>
              <w:t>Meeting</w:t>
            </w:r>
          </w:p>
        </w:tc>
        <w:tc>
          <w:tcPr>
            <w:tcW w:w="1418" w:type="dxa"/>
          </w:tcPr>
          <w:p w14:paraId="78CCAB48" w14:textId="2A4CD8EA" w:rsidR="004C503A" w:rsidRPr="004C503A" w:rsidRDefault="004C503A" w:rsidP="00B56675">
            <w:pPr>
              <w:jc w:val="both"/>
              <w:rPr>
                <w:rFonts w:cs="Arial"/>
                <w:b/>
              </w:rPr>
            </w:pPr>
            <w:r w:rsidRPr="004C503A">
              <w:rPr>
                <w:rFonts w:cs="Arial"/>
                <w:b/>
              </w:rPr>
              <w:t>Date</w:t>
            </w:r>
          </w:p>
        </w:tc>
        <w:tc>
          <w:tcPr>
            <w:tcW w:w="2693" w:type="dxa"/>
          </w:tcPr>
          <w:p w14:paraId="5ED3EC81" w14:textId="30810321" w:rsidR="004C503A" w:rsidRPr="004C503A" w:rsidRDefault="004C503A" w:rsidP="00B56675">
            <w:pPr>
              <w:jc w:val="both"/>
              <w:rPr>
                <w:rFonts w:cs="Arial"/>
                <w:b/>
              </w:rPr>
            </w:pPr>
            <w:r w:rsidRPr="004C503A">
              <w:rPr>
                <w:rFonts w:cs="Arial"/>
                <w:b/>
              </w:rPr>
              <w:t>Registered attendees</w:t>
            </w:r>
          </w:p>
        </w:tc>
      </w:tr>
      <w:tr w:rsidR="004C503A" w14:paraId="2ED1FE68" w14:textId="6F94D7C4" w:rsidTr="004C503A">
        <w:tc>
          <w:tcPr>
            <w:tcW w:w="5098" w:type="dxa"/>
          </w:tcPr>
          <w:p w14:paraId="2B17101D" w14:textId="56B6D3B0" w:rsidR="004C503A" w:rsidRDefault="004C503A" w:rsidP="00AF5B43">
            <w:pPr>
              <w:jc w:val="both"/>
              <w:rPr>
                <w:rFonts w:cs="Arial"/>
              </w:rPr>
            </w:pPr>
            <w:r>
              <w:rPr>
                <w:rFonts w:cs="Arial"/>
              </w:rPr>
              <w:t>Joint Economic Strategy and City Centre Action Plan, Business Workshop</w:t>
            </w:r>
          </w:p>
        </w:tc>
        <w:tc>
          <w:tcPr>
            <w:tcW w:w="1418" w:type="dxa"/>
          </w:tcPr>
          <w:p w14:paraId="505721EC" w14:textId="5509AE1B" w:rsidR="004C503A" w:rsidRDefault="004C503A" w:rsidP="00B56675">
            <w:pPr>
              <w:jc w:val="both"/>
              <w:rPr>
                <w:rFonts w:cs="Arial"/>
              </w:rPr>
            </w:pPr>
            <w:r>
              <w:rPr>
                <w:rFonts w:cs="Arial"/>
              </w:rPr>
              <w:t>12.01.22</w:t>
            </w:r>
          </w:p>
        </w:tc>
        <w:tc>
          <w:tcPr>
            <w:tcW w:w="2693" w:type="dxa"/>
          </w:tcPr>
          <w:p w14:paraId="3C265B76" w14:textId="6F693618" w:rsidR="004C503A" w:rsidRDefault="004C503A" w:rsidP="00B56675">
            <w:pPr>
              <w:jc w:val="both"/>
              <w:rPr>
                <w:rFonts w:cs="Arial"/>
              </w:rPr>
            </w:pPr>
            <w:r>
              <w:rPr>
                <w:rFonts w:cs="Arial"/>
              </w:rPr>
              <w:t>44</w:t>
            </w:r>
          </w:p>
        </w:tc>
      </w:tr>
      <w:tr w:rsidR="004C503A" w14:paraId="1875ACBB" w14:textId="268F8F04" w:rsidTr="004C503A">
        <w:tc>
          <w:tcPr>
            <w:tcW w:w="5098" w:type="dxa"/>
          </w:tcPr>
          <w:p w14:paraId="75855E0A" w14:textId="57096959" w:rsidR="004C503A" w:rsidRDefault="004C503A" w:rsidP="00B56675">
            <w:pPr>
              <w:jc w:val="both"/>
              <w:rPr>
                <w:rFonts w:cs="Arial"/>
              </w:rPr>
            </w:pPr>
            <w:r>
              <w:rPr>
                <w:rFonts w:cs="Arial"/>
              </w:rPr>
              <w:t xml:space="preserve">Talk of the Town </w:t>
            </w:r>
          </w:p>
        </w:tc>
        <w:tc>
          <w:tcPr>
            <w:tcW w:w="1418" w:type="dxa"/>
          </w:tcPr>
          <w:p w14:paraId="2BAAB0A9" w14:textId="3EE3ED4A" w:rsidR="004C503A" w:rsidRDefault="004C503A" w:rsidP="00B56675">
            <w:pPr>
              <w:jc w:val="both"/>
              <w:rPr>
                <w:rFonts w:cs="Arial"/>
              </w:rPr>
            </w:pPr>
            <w:r>
              <w:rPr>
                <w:rFonts w:cs="Arial"/>
              </w:rPr>
              <w:t>11.01.22</w:t>
            </w:r>
          </w:p>
        </w:tc>
        <w:tc>
          <w:tcPr>
            <w:tcW w:w="2693" w:type="dxa"/>
          </w:tcPr>
          <w:p w14:paraId="6C6E5B6D" w14:textId="49130E5E" w:rsidR="004C503A" w:rsidRDefault="004C503A" w:rsidP="00B56675">
            <w:pPr>
              <w:jc w:val="both"/>
              <w:rPr>
                <w:rFonts w:cs="Arial"/>
              </w:rPr>
            </w:pPr>
            <w:r>
              <w:rPr>
                <w:rFonts w:cs="Arial"/>
              </w:rPr>
              <w:t>31</w:t>
            </w:r>
          </w:p>
        </w:tc>
      </w:tr>
      <w:tr w:rsidR="004C503A" w14:paraId="480F41F0" w14:textId="60B64FAB" w:rsidTr="004C503A">
        <w:tc>
          <w:tcPr>
            <w:tcW w:w="5098" w:type="dxa"/>
          </w:tcPr>
          <w:p w14:paraId="661B8020" w14:textId="2D2C4D0A" w:rsidR="004C503A" w:rsidRPr="004C503A" w:rsidRDefault="004C503A" w:rsidP="004C503A">
            <w:r>
              <w:t>Oxford City Council Inclusive Transport &amp; Movement Group</w:t>
            </w:r>
          </w:p>
        </w:tc>
        <w:tc>
          <w:tcPr>
            <w:tcW w:w="1418" w:type="dxa"/>
          </w:tcPr>
          <w:p w14:paraId="3DB92DF0" w14:textId="1F1B60DD" w:rsidR="004C503A" w:rsidRDefault="004C503A" w:rsidP="00E462A3">
            <w:r>
              <w:t>15.12.21</w:t>
            </w:r>
          </w:p>
        </w:tc>
        <w:tc>
          <w:tcPr>
            <w:tcW w:w="2693" w:type="dxa"/>
          </w:tcPr>
          <w:p w14:paraId="4D1B42B0" w14:textId="785FB67A" w:rsidR="004C503A" w:rsidRDefault="004C503A" w:rsidP="00E462A3">
            <w:r>
              <w:t>14</w:t>
            </w:r>
          </w:p>
        </w:tc>
      </w:tr>
      <w:tr w:rsidR="004C503A" w14:paraId="0F1DE57A" w14:textId="29DA4589" w:rsidTr="004C503A">
        <w:tc>
          <w:tcPr>
            <w:tcW w:w="5098" w:type="dxa"/>
          </w:tcPr>
          <w:p w14:paraId="6F9DADB5" w14:textId="2B81A2A1" w:rsidR="004C503A" w:rsidRDefault="004C503A" w:rsidP="004C503A">
            <w:pPr>
              <w:jc w:val="both"/>
              <w:rPr>
                <w:rFonts w:cs="Arial"/>
              </w:rPr>
            </w:pPr>
            <w:r>
              <w:rPr>
                <w:rFonts w:cs="Arial"/>
              </w:rPr>
              <w:t>One to One meetings with stakeholders</w:t>
            </w:r>
          </w:p>
        </w:tc>
        <w:tc>
          <w:tcPr>
            <w:tcW w:w="1418" w:type="dxa"/>
          </w:tcPr>
          <w:p w14:paraId="7964AC1C" w14:textId="4493F209" w:rsidR="004C503A" w:rsidRDefault="004C503A" w:rsidP="001A6D6B">
            <w:pPr>
              <w:jc w:val="both"/>
              <w:rPr>
                <w:rFonts w:cs="Arial"/>
              </w:rPr>
            </w:pPr>
            <w:r>
              <w:rPr>
                <w:rFonts w:cs="Arial"/>
              </w:rPr>
              <w:t>Various</w:t>
            </w:r>
          </w:p>
        </w:tc>
        <w:tc>
          <w:tcPr>
            <w:tcW w:w="2693" w:type="dxa"/>
          </w:tcPr>
          <w:p w14:paraId="35AA6C51" w14:textId="37642F53" w:rsidR="004C503A" w:rsidRDefault="004C503A" w:rsidP="001A6D6B">
            <w:pPr>
              <w:jc w:val="both"/>
              <w:rPr>
                <w:rFonts w:cs="Arial"/>
              </w:rPr>
            </w:pPr>
            <w:r>
              <w:rPr>
                <w:rFonts w:cs="Arial"/>
              </w:rPr>
              <w:t>9 meetings</w:t>
            </w:r>
          </w:p>
        </w:tc>
      </w:tr>
    </w:tbl>
    <w:p w14:paraId="08F94261" w14:textId="77777777" w:rsidR="000876A6" w:rsidRDefault="000876A6" w:rsidP="00DE50F0">
      <w:pPr>
        <w:pStyle w:val="ListParagraph"/>
        <w:numPr>
          <w:ilvl w:val="0"/>
          <w:numId w:val="0"/>
        </w:numPr>
        <w:ind w:left="426"/>
        <w:jc w:val="both"/>
      </w:pPr>
    </w:p>
    <w:p w14:paraId="5074FA8E" w14:textId="2C06BBE1" w:rsidR="004C503A" w:rsidRDefault="00880C8B" w:rsidP="004C503A">
      <w:pPr>
        <w:pStyle w:val="ListParagraph"/>
      </w:pPr>
      <w:r>
        <w:t>There was broad support for the identified Strengths, Weaknesses, Opportunities and Threats facing the City. The projects were accepted and there were some relatively minor changes raised for inclusion</w:t>
      </w:r>
      <w:r w:rsidR="00641CC2">
        <w:t xml:space="preserve"> or amendment</w:t>
      </w:r>
      <w:r w:rsidR="00811F99">
        <w:t xml:space="preserve"> (See section </w:t>
      </w:r>
      <w:r w:rsidR="00D22896">
        <w:t xml:space="preserve">9 </w:t>
      </w:r>
      <w:r w:rsidR="00811F99">
        <w:t>below)</w:t>
      </w:r>
      <w:r w:rsidR="00641CC2">
        <w:t>.</w:t>
      </w:r>
    </w:p>
    <w:p w14:paraId="157A5248" w14:textId="026459F7" w:rsidR="004C503A" w:rsidRDefault="00641CC2" w:rsidP="004C503A">
      <w:pPr>
        <w:pStyle w:val="ListParagraph"/>
      </w:pPr>
      <w:r>
        <w:t xml:space="preserve"> A</w:t>
      </w:r>
      <w:r w:rsidR="000876A6">
        <w:t xml:space="preserve"> number of themes</w:t>
      </w:r>
      <w:r w:rsidR="00811F99">
        <w:t xml:space="preserve"> emerged from the consultation and these are shown on the C</w:t>
      </w:r>
      <w:r w:rsidR="00D22896">
        <w:t>onsultation Report (Appendix 2).</w:t>
      </w:r>
    </w:p>
    <w:p w14:paraId="64DC8686" w14:textId="3833432C" w:rsidR="00EB1398" w:rsidRDefault="002141BC" w:rsidP="004C503A">
      <w:pPr>
        <w:pStyle w:val="ListParagraph"/>
      </w:pPr>
      <w:r>
        <w:t>The consultation response was presen</w:t>
      </w:r>
      <w:r w:rsidR="000A1E45">
        <w:t>ted to and reviewed through: an internal officer group;</w:t>
      </w:r>
      <w:r>
        <w:t xml:space="preserve"> a workshop for elected Members of </w:t>
      </w:r>
      <w:r w:rsidR="000A1E45">
        <w:t xml:space="preserve">Oxford City Council; </w:t>
      </w:r>
      <w:r>
        <w:t>City Centre taskforce group meeting</w:t>
      </w:r>
      <w:r w:rsidR="000A1E45">
        <w:t>;</w:t>
      </w:r>
      <w:r w:rsidR="00D81BC3">
        <w:t xml:space="preserve"> </w:t>
      </w:r>
      <w:r w:rsidR="00D81BC3" w:rsidRPr="00811F99">
        <w:rPr>
          <w:color w:val="000000" w:themeColor="text1"/>
        </w:rPr>
        <w:t>and a b</w:t>
      </w:r>
      <w:r w:rsidR="000E01FD">
        <w:rPr>
          <w:color w:val="000000" w:themeColor="text1"/>
        </w:rPr>
        <w:t xml:space="preserve">usiness/organisation forum </w:t>
      </w:r>
      <w:proofErr w:type="spellStart"/>
      <w:r w:rsidR="000E01FD">
        <w:rPr>
          <w:color w:val="000000" w:themeColor="text1"/>
        </w:rPr>
        <w:t>i.e.</w:t>
      </w:r>
      <w:r w:rsidR="00D81BC3" w:rsidRPr="00811F99">
        <w:rPr>
          <w:color w:val="000000" w:themeColor="text1"/>
        </w:rPr>
        <w:t>Talk</w:t>
      </w:r>
      <w:proofErr w:type="spellEnd"/>
      <w:r w:rsidR="00D81BC3" w:rsidRPr="00811F99">
        <w:rPr>
          <w:color w:val="000000" w:themeColor="text1"/>
        </w:rPr>
        <w:t xml:space="preserve"> of the Town.</w:t>
      </w:r>
      <w:r w:rsidRPr="00811F99">
        <w:rPr>
          <w:color w:val="000000" w:themeColor="text1"/>
        </w:rPr>
        <w:t xml:space="preserve"> </w:t>
      </w:r>
      <w:r w:rsidR="002468CB">
        <w:t xml:space="preserve"> </w:t>
      </w:r>
    </w:p>
    <w:p w14:paraId="35C2F907" w14:textId="7DE54BFD" w:rsidR="00EB1398" w:rsidRDefault="00986982" w:rsidP="00EB1398">
      <w:pPr>
        <w:jc w:val="both"/>
        <w:rPr>
          <w:b/>
          <w:bCs/>
        </w:rPr>
      </w:pPr>
      <w:r w:rsidRPr="00641CC2">
        <w:rPr>
          <w:b/>
          <w:bCs/>
          <w:color w:val="000000" w:themeColor="text1"/>
        </w:rPr>
        <w:t xml:space="preserve">Recommended changes to the </w:t>
      </w:r>
      <w:r w:rsidR="00EB1398">
        <w:rPr>
          <w:b/>
          <w:bCs/>
        </w:rPr>
        <w:t xml:space="preserve">Oxford’s </w:t>
      </w:r>
      <w:r w:rsidR="00804C26">
        <w:rPr>
          <w:b/>
          <w:bCs/>
        </w:rPr>
        <w:t>City Centre Action Plan</w:t>
      </w:r>
      <w:r w:rsidR="00EB1398" w:rsidRPr="00832C9B">
        <w:rPr>
          <w:b/>
          <w:bCs/>
        </w:rPr>
        <w:t xml:space="preserve"> </w:t>
      </w:r>
    </w:p>
    <w:p w14:paraId="6B0255A7" w14:textId="7914D476" w:rsidR="00811F99" w:rsidRDefault="00D22896" w:rsidP="00811F99">
      <w:pPr>
        <w:pStyle w:val="ListParagraph"/>
      </w:pPr>
      <w:r>
        <w:t>Following analysis to</w:t>
      </w:r>
      <w:r w:rsidR="002141BC">
        <w:t xml:space="preserve"> the response</w:t>
      </w:r>
      <w:r>
        <w:t>s</w:t>
      </w:r>
      <w:r w:rsidR="002141BC">
        <w:t xml:space="preserve"> to the consultation</w:t>
      </w:r>
      <w:r w:rsidR="00D81BC3">
        <w:t>,</w:t>
      </w:r>
      <w:r w:rsidR="002141BC">
        <w:t xml:space="preserve"> a number of amendments to the Consultation Draft Action Plan were considered (see Appendix </w:t>
      </w:r>
      <w:r w:rsidR="00692333">
        <w:t>3)</w:t>
      </w:r>
      <w:r w:rsidR="00363FB4">
        <w:t xml:space="preserve">. The </w:t>
      </w:r>
      <w:r>
        <w:t>analysis of the response to the Consultation did not find any fundamental issues with the CCAP</w:t>
      </w:r>
      <w:r w:rsidR="00BC5D59">
        <w:t xml:space="preserve"> and a final </w:t>
      </w:r>
      <w:r w:rsidR="000A1E45">
        <w:t>Plan</w:t>
      </w:r>
      <w:r w:rsidR="00BC5D59">
        <w:t xml:space="preserve"> is presented here</w:t>
      </w:r>
      <w:r w:rsidR="000A1E45">
        <w:t xml:space="preserve"> for adoption</w:t>
      </w:r>
      <w:r w:rsidR="00BC5D59">
        <w:t xml:space="preserve"> (Appendix 1).</w:t>
      </w:r>
      <w:r w:rsidR="007225BE">
        <w:t xml:space="preserve"> </w:t>
      </w:r>
      <w:r w:rsidR="00305294">
        <w:t xml:space="preserve">The key amendments </w:t>
      </w:r>
      <w:r w:rsidR="00263163">
        <w:t xml:space="preserve">from the consultation </w:t>
      </w:r>
      <w:r w:rsidR="008F6224">
        <w:t xml:space="preserve">have been drawn out and </w:t>
      </w:r>
      <w:r w:rsidR="00263163">
        <w:t>are set out below</w:t>
      </w:r>
      <w:r w:rsidR="003E2636">
        <w:t>:</w:t>
      </w:r>
    </w:p>
    <w:p w14:paraId="1731B9B4" w14:textId="0856A84B" w:rsidR="00EB1398" w:rsidRDefault="00811F99" w:rsidP="005157AF">
      <w:pPr>
        <w:pStyle w:val="ListParagraph"/>
        <w:numPr>
          <w:ilvl w:val="1"/>
          <w:numId w:val="45"/>
        </w:numPr>
      </w:pPr>
      <w:r>
        <w:t>Due to the uncertainties that exist</w:t>
      </w:r>
      <w:r w:rsidR="004C503A">
        <w:t>, the CCAP</w:t>
      </w:r>
      <w:r w:rsidR="00EB1398" w:rsidRPr="000A1E45">
        <w:t xml:space="preserve"> should be flexible, adaptive and kept under review as a ‘living document’</w:t>
      </w:r>
      <w:r>
        <w:t>. I</w:t>
      </w:r>
      <w:r w:rsidR="00EB1398" w:rsidRPr="00EB1398">
        <w:t>t is further recommended that the way in which the CCAP is ‘kept under review’ should be more clearly set out in the document</w:t>
      </w:r>
      <w:r w:rsidR="00305294">
        <w:t>.</w:t>
      </w:r>
      <w:r w:rsidR="00EB1398" w:rsidRPr="00EB1398">
        <w:t xml:space="preserve"> </w:t>
      </w:r>
    </w:p>
    <w:p w14:paraId="7DE417CC" w14:textId="475A950C" w:rsidR="00641CC2" w:rsidRDefault="005157AF" w:rsidP="00CA7334">
      <w:pPr>
        <w:pStyle w:val="ListParagraph"/>
        <w:numPr>
          <w:ilvl w:val="1"/>
          <w:numId w:val="45"/>
        </w:numPr>
      </w:pPr>
      <w:r>
        <w:t xml:space="preserve"> </w:t>
      </w:r>
      <w:r w:rsidR="00EB1398">
        <w:t>Governance and resourcing</w:t>
      </w:r>
      <w:r w:rsidR="00D81BC3">
        <w:t xml:space="preserve"> -</w:t>
      </w:r>
      <w:r w:rsidR="00EB1398">
        <w:t xml:space="preserve"> </w:t>
      </w:r>
      <w:r w:rsidR="007C3715">
        <w:t>a</w:t>
      </w:r>
      <w:r w:rsidR="00EB1398" w:rsidRPr="00EB1398">
        <w:t xml:space="preserve"> number of resp</w:t>
      </w:r>
      <w:r w:rsidR="004C503A">
        <w:t>ondents have questioned how the</w:t>
      </w:r>
      <w:r w:rsidR="000A1E45">
        <w:t xml:space="preserve"> </w:t>
      </w:r>
      <w:r w:rsidR="00EB1398" w:rsidRPr="00EB1398">
        <w:t>ambition of the CCAP will be delivered</w:t>
      </w:r>
      <w:r w:rsidR="00EB1398">
        <w:t>. Part</w:t>
      </w:r>
      <w:r w:rsidR="00305294">
        <w:t>nership delivery, strong leadership and identification of</w:t>
      </w:r>
      <w:r w:rsidR="004C503A">
        <w:t xml:space="preserve"> all</w:t>
      </w:r>
      <w:r w:rsidR="00305294">
        <w:t xml:space="preserve"> key stakeholders</w:t>
      </w:r>
      <w:r w:rsidR="004C503A">
        <w:t>, including residents,</w:t>
      </w:r>
      <w:r w:rsidR="00305294">
        <w:t xml:space="preserve"> is vital.</w:t>
      </w:r>
      <w:r w:rsidR="00CA7334">
        <w:t xml:space="preserve"> </w:t>
      </w:r>
      <w:r w:rsidR="00EB1398">
        <w:t>Given the range of opinions expressed, the CC</w:t>
      </w:r>
      <w:r w:rsidR="000A1E45">
        <w:t>AP should be more explicit that th</w:t>
      </w:r>
      <w:r w:rsidR="00EB1398">
        <w:t xml:space="preserve">ere may be conflicting agendas and some disagreement over what actions are included, as well as what actions take priority. </w:t>
      </w:r>
    </w:p>
    <w:p w14:paraId="30F3C8C8" w14:textId="51263E63" w:rsidR="00EB1398" w:rsidRDefault="005157AF" w:rsidP="005157AF">
      <w:pPr>
        <w:pStyle w:val="ListParagraph"/>
        <w:numPr>
          <w:ilvl w:val="1"/>
          <w:numId w:val="45"/>
        </w:numPr>
      </w:pPr>
      <w:r>
        <w:t xml:space="preserve"> </w:t>
      </w:r>
      <w:r w:rsidR="00EB1398">
        <w:t>A</w:t>
      </w:r>
      <w:r w:rsidR="00EB1398" w:rsidRPr="00EB1398">
        <w:t xml:space="preserve"> set of Key Performance Indicators (KPIs) </w:t>
      </w:r>
      <w:r w:rsidR="00584410">
        <w:t>should be</w:t>
      </w:r>
      <w:r w:rsidR="00EB1398" w:rsidRPr="00EB1398">
        <w:t xml:space="preserve"> </w:t>
      </w:r>
      <w:r w:rsidR="00804C26">
        <w:t xml:space="preserve">considered for </w:t>
      </w:r>
      <w:r w:rsidR="00EB1398" w:rsidRPr="00EB1398">
        <w:t>Oxford City Centre. Furthermore, that the KPIs</w:t>
      </w:r>
      <w:r w:rsidR="00584410">
        <w:t xml:space="preserve"> should</w:t>
      </w:r>
      <w:r w:rsidR="00EB1398" w:rsidRPr="00EB1398">
        <w:t xml:space="preserve"> reflect the commercial viability, as well as the vitality of the City Centre</w:t>
      </w:r>
      <w:r w:rsidR="005B64FE">
        <w:t>,</w:t>
      </w:r>
      <w:r w:rsidR="00EB1398" w:rsidRPr="00EB1398">
        <w:t xml:space="preserve"> as </w:t>
      </w:r>
      <w:r w:rsidR="005B64FE">
        <w:t xml:space="preserve">a </w:t>
      </w:r>
      <w:r w:rsidR="00EB1398" w:rsidRPr="00EB1398">
        <w:t>relevant social and civic hub available to all of the community</w:t>
      </w:r>
      <w:r w:rsidR="00305294">
        <w:t>.</w:t>
      </w:r>
      <w:r w:rsidR="004D1370" w:rsidRPr="004D1370">
        <w:rPr>
          <w:rFonts w:cs="Arial"/>
          <w:color w:val="1F497D"/>
        </w:rPr>
        <w:t xml:space="preserve"> </w:t>
      </w:r>
      <w:r w:rsidR="004D1370" w:rsidRPr="004D1370">
        <w:t>The KPI’s need to be a light touch, relevant and easily measurable so as to add to/shape rather than detract from delivery resources.</w:t>
      </w:r>
    </w:p>
    <w:p w14:paraId="01EFC6CA" w14:textId="0CF977F8" w:rsidR="004C503A" w:rsidRDefault="005157AF" w:rsidP="005157AF">
      <w:pPr>
        <w:pStyle w:val="ListParagraph"/>
        <w:numPr>
          <w:ilvl w:val="1"/>
          <w:numId w:val="45"/>
        </w:numPr>
      </w:pPr>
      <w:r>
        <w:t xml:space="preserve"> </w:t>
      </w:r>
      <w:r w:rsidR="004C503A">
        <w:t>I</w:t>
      </w:r>
      <w:r w:rsidR="00EB1398" w:rsidRPr="00EB1398">
        <w:t>mproving the quality of the public realm and built e</w:t>
      </w:r>
      <w:r w:rsidR="004C503A">
        <w:t>nvironment in the City Centre was noted</w:t>
      </w:r>
      <w:r w:rsidR="00EB1398" w:rsidRPr="00EB1398">
        <w:t xml:space="preserve"> a</w:t>
      </w:r>
      <w:r w:rsidR="004C503A">
        <w:t>s</w:t>
      </w:r>
      <w:r w:rsidR="00EB1398" w:rsidRPr="00EB1398">
        <w:t xml:space="preserve"> </w:t>
      </w:r>
      <w:r w:rsidR="004C503A">
        <w:t xml:space="preserve">a </w:t>
      </w:r>
      <w:r w:rsidR="00EB1398" w:rsidRPr="00EB1398">
        <w:t>high priority project area</w:t>
      </w:r>
      <w:r w:rsidR="005B64FE">
        <w:t>.</w:t>
      </w:r>
    </w:p>
    <w:p w14:paraId="45E3E144" w14:textId="1E644A03" w:rsidR="004C503A" w:rsidRDefault="005157AF" w:rsidP="005157AF">
      <w:pPr>
        <w:pStyle w:val="ListParagraph"/>
        <w:numPr>
          <w:ilvl w:val="1"/>
          <w:numId w:val="45"/>
        </w:numPr>
      </w:pPr>
      <w:r>
        <w:t xml:space="preserve"> </w:t>
      </w:r>
      <w:r w:rsidR="004C503A">
        <w:t>T</w:t>
      </w:r>
      <w:r w:rsidR="00986982" w:rsidRPr="00305294">
        <w:t xml:space="preserve">he Castle Quarter should be </w:t>
      </w:r>
      <w:r w:rsidR="008F6224">
        <w:t>noted as a place of importance.</w:t>
      </w:r>
    </w:p>
    <w:p w14:paraId="078B9113" w14:textId="070ECB35" w:rsidR="004C503A" w:rsidRDefault="005157AF" w:rsidP="005157AF">
      <w:pPr>
        <w:pStyle w:val="ListParagraph"/>
        <w:numPr>
          <w:ilvl w:val="1"/>
          <w:numId w:val="45"/>
        </w:numPr>
      </w:pPr>
      <w:r>
        <w:t xml:space="preserve"> </w:t>
      </w:r>
      <w:r w:rsidR="00986982" w:rsidRPr="003E2636">
        <w:t>Some listed projects were actually themes and those projects under the the</w:t>
      </w:r>
      <w:r w:rsidR="004C503A">
        <w:t>mes should have greater clarity</w:t>
      </w:r>
      <w:r w:rsidR="00CA7334">
        <w:t>.</w:t>
      </w:r>
    </w:p>
    <w:p w14:paraId="40803753" w14:textId="74FB0396" w:rsidR="004C503A" w:rsidRDefault="005157AF" w:rsidP="00CA7334">
      <w:pPr>
        <w:pStyle w:val="ListParagraph"/>
        <w:numPr>
          <w:ilvl w:val="1"/>
          <w:numId w:val="45"/>
        </w:numPr>
      </w:pPr>
      <w:r>
        <w:t xml:space="preserve"> </w:t>
      </w:r>
      <w:r w:rsidR="00CA7334">
        <w:t xml:space="preserve">A </w:t>
      </w:r>
      <w:r w:rsidR="00CA7334" w:rsidRPr="00CA7334">
        <w:t>more progressive approach to diversifying the Art and Culture offer should be explored, especially around live music</w:t>
      </w:r>
      <w:r w:rsidR="00CA7334">
        <w:t>.</w:t>
      </w:r>
    </w:p>
    <w:p w14:paraId="7E9A09AE" w14:textId="2173CC9B" w:rsidR="00305294" w:rsidRDefault="005157AF" w:rsidP="005157AF">
      <w:pPr>
        <w:pStyle w:val="ListParagraph"/>
        <w:numPr>
          <w:ilvl w:val="1"/>
          <w:numId w:val="45"/>
        </w:numPr>
      </w:pPr>
      <w:r>
        <w:t xml:space="preserve"> </w:t>
      </w:r>
      <w:r w:rsidR="00305294">
        <w:t xml:space="preserve">The spatial extent of the </w:t>
      </w:r>
      <w:r w:rsidR="004C503A">
        <w:t>Plan boundary should be clearer</w:t>
      </w:r>
      <w:r w:rsidR="00CA7334">
        <w:t xml:space="preserve"> to define wha</w:t>
      </w:r>
      <w:r w:rsidR="002026FF">
        <w:t>t is being covered by the CCAP and should be in line with the Local Plan.</w:t>
      </w:r>
    </w:p>
    <w:p w14:paraId="14DCA4F6" w14:textId="006E031E" w:rsidR="003252BF" w:rsidRPr="003E2636" w:rsidRDefault="00CA7334" w:rsidP="003252BF">
      <w:pPr>
        <w:pStyle w:val="ListParagraph"/>
        <w:numPr>
          <w:ilvl w:val="1"/>
          <w:numId w:val="45"/>
        </w:numPr>
      </w:pPr>
      <w:r>
        <w:t xml:space="preserve"> </w:t>
      </w:r>
      <w:r w:rsidR="004C503A">
        <w:t>Further greening of the City was noted as important and greater priority given to enhancing waterways.</w:t>
      </w:r>
    </w:p>
    <w:p w14:paraId="4CC66B96" w14:textId="7F14C609" w:rsidR="005B64FE" w:rsidRDefault="005B64FE" w:rsidP="00811F99">
      <w:pPr>
        <w:ind w:left="142"/>
      </w:pPr>
      <w:r w:rsidRPr="003E5284">
        <w:t>These have been duly reflec</w:t>
      </w:r>
      <w:r w:rsidR="00363FB4">
        <w:t>ted in the amended CCAP (Appendix</w:t>
      </w:r>
      <w:r w:rsidRPr="003E5284">
        <w:t xml:space="preserve"> </w:t>
      </w:r>
      <w:r w:rsidR="00986982" w:rsidRPr="003E5284">
        <w:t>1)</w:t>
      </w:r>
      <w:r w:rsidR="004C503A">
        <w:t xml:space="preserve"> and approval is sought to accept these changes and adopt the CCAP.</w:t>
      </w:r>
    </w:p>
    <w:p w14:paraId="177A439C" w14:textId="4E57BF87" w:rsidR="003252BF" w:rsidRDefault="003252BF" w:rsidP="00811F99">
      <w:pPr>
        <w:ind w:left="142"/>
      </w:pPr>
      <w:r>
        <w:t>9.10 T</w:t>
      </w:r>
      <w:r w:rsidRPr="003252BF">
        <w:t>he following changes will also be ma</w:t>
      </w:r>
      <w:r w:rsidR="00A11457">
        <w:t>de to the final report after</w:t>
      </w:r>
      <w:r w:rsidRPr="003252BF">
        <w:t xml:space="preserve"> consultation with Cabinet Members’</w:t>
      </w:r>
      <w:r w:rsidR="00A11457">
        <w:t>:</w:t>
      </w:r>
    </w:p>
    <w:p w14:paraId="31298049" w14:textId="03580712" w:rsidR="003252BF" w:rsidRDefault="003252BF" w:rsidP="003252BF">
      <w:pPr>
        <w:ind w:left="142"/>
      </w:pPr>
      <w:r>
        <w:t>•</w:t>
      </w:r>
      <w:r>
        <w:tab/>
        <w:t xml:space="preserve">Explicit reference to the Colleges where the aim to ‘increase public access to existing green spaces’ is mentioned. </w:t>
      </w:r>
    </w:p>
    <w:p w14:paraId="48806382" w14:textId="307DEE39" w:rsidR="003252BF" w:rsidRPr="003E5284" w:rsidRDefault="003252BF" w:rsidP="003252BF">
      <w:pPr>
        <w:ind w:left="142"/>
      </w:pPr>
      <w:r>
        <w:t>•</w:t>
      </w:r>
      <w:r>
        <w:tab/>
        <w:t>Be clearer as to when the CCAP will be revisited, by whom and broad process</w:t>
      </w:r>
    </w:p>
    <w:p w14:paraId="6F52A1D5" w14:textId="77777777" w:rsidR="0040736F" w:rsidRPr="002B6836" w:rsidRDefault="002329CF" w:rsidP="002B6836">
      <w:pPr>
        <w:pStyle w:val="Heading1"/>
      </w:pPr>
      <w:r w:rsidRPr="002B6836">
        <w:t>Financial implications</w:t>
      </w:r>
    </w:p>
    <w:p w14:paraId="50176CDA" w14:textId="09B6DB20" w:rsidR="00E87F7A" w:rsidRDefault="00A00184" w:rsidP="005570B5">
      <w:pPr>
        <w:pStyle w:val="ListParagraph"/>
        <w:rPr>
          <w:rStyle w:val="bParagraphtextChar"/>
        </w:rPr>
      </w:pPr>
      <w:r>
        <w:rPr>
          <w:rStyle w:val="bParagraphtextChar"/>
        </w:rPr>
        <w:t>There are no direct financial implications from this decision. However, as projects and initiatives are bought forward through the usual processes, the financial implications</w:t>
      </w:r>
      <w:r w:rsidR="005B64FE">
        <w:rPr>
          <w:rStyle w:val="bParagraphtextChar"/>
        </w:rPr>
        <w:t>,</w:t>
      </w:r>
      <w:r w:rsidR="005B64FE" w:rsidRPr="003E5284">
        <w:rPr>
          <w:rStyle w:val="bParagraphtextChar"/>
          <w:color w:val="000000" w:themeColor="text1"/>
        </w:rPr>
        <w:t xml:space="preserve"> and indeed resource implications</w:t>
      </w:r>
      <w:r w:rsidR="005B64FE" w:rsidRPr="003E5284">
        <w:rPr>
          <w:rStyle w:val="bParagraphtextChar"/>
          <w:color w:val="FF0000"/>
        </w:rPr>
        <w:t xml:space="preserve">, </w:t>
      </w:r>
      <w:r>
        <w:rPr>
          <w:rStyle w:val="bParagraphtextChar"/>
        </w:rPr>
        <w:t xml:space="preserve">of these will need to be considered on a case by case basis. </w:t>
      </w:r>
      <w:r w:rsidR="006A6ED5">
        <w:rPr>
          <w:rStyle w:val="bParagraphtextChar"/>
        </w:rPr>
        <w:t xml:space="preserve">Please see Appendix </w:t>
      </w:r>
      <w:r w:rsidR="00C536DF">
        <w:rPr>
          <w:rStyle w:val="bParagraphtextChar"/>
        </w:rPr>
        <w:t>6</w:t>
      </w:r>
      <w:r w:rsidR="006A6ED5">
        <w:rPr>
          <w:rStyle w:val="bParagraphtextChar"/>
        </w:rPr>
        <w:t xml:space="preserve"> for project delivery.</w:t>
      </w:r>
    </w:p>
    <w:p w14:paraId="2DB7C66E" w14:textId="77777777" w:rsidR="0040736F" w:rsidRPr="001356F1" w:rsidRDefault="00DA614B" w:rsidP="004A6D2F">
      <w:pPr>
        <w:pStyle w:val="Heading1"/>
      </w:pPr>
      <w:r w:rsidRPr="001356F1">
        <w:t>Legal issues</w:t>
      </w:r>
    </w:p>
    <w:p w14:paraId="7E443EA0" w14:textId="76123986" w:rsidR="00E87F7A" w:rsidRPr="001356F1" w:rsidRDefault="00E87F7A" w:rsidP="002B6836">
      <w:pPr>
        <w:pStyle w:val="bParagraphtext"/>
      </w:pPr>
      <w:r w:rsidRPr="001356F1">
        <w:t>T</w:t>
      </w:r>
      <w:r w:rsidR="00A00184">
        <w:t xml:space="preserve">here are no legal implications </w:t>
      </w:r>
      <w:r w:rsidR="00DF6C6D">
        <w:t xml:space="preserve">arising </w:t>
      </w:r>
      <w:r w:rsidR="00A00184">
        <w:t>from this decision.</w:t>
      </w:r>
    </w:p>
    <w:p w14:paraId="1B238A12" w14:textId="77777777" w:rsidR="002329CF" w:rsidRPr="001356F1" w:rsidRDefault="002329CF" w:rsidP="004A6D2F">
      <w:pPr>
        <w:pStyle w:val="Heading1"/>
      </w:pPr>
      <w:r w:rsidRPr="001356F1">
        <w:t>Level of risk</w:t>
      </w:r>
    </w:p>
    <w:p w14:paraId="3D749773" w14:textId="49F746F9" w:rsidR="00BC69A4" w:rsidRPr="003B300B" w:rsidRDefault="003307C4" w:rsidP="00C536DF">
      <w:pPr>
        <w:pStyle w:val="bParagraphtext"/>
      </w:pPr>
      <w:r w:rsidRPr="003B300B">
        <w:t>The complete</w:t>
      </w:r>
      <w:r w:rsidR="004C503A">
        <w:t>d risk register is attached at A</w:t>
      </w:r>
      <w:r w:rsidRPr="003B300B">
        <w:t xml:space="preserve">ppendix </w:t>
      </w:r>
      <w:r w:rsidR="006A7D21">
        <w:t>4.</w:t>
      </w:r>
      <w:r w:rsidR="00C536DF">
        <w:t xml:space="preserve"> A number of key risks are identified and mitigations are put in place </w:t>
      </w:r>
    </w:p>
    <w:p w14:paraId="3715344A" w14:textId="77777777" w:rsidR="00ED4A4E" w:rsidRPr="003B300B" w:rsidRDefault="00ED4A4E" w:rsidP="00ED4A4E">
      <w:pPr>
        <w:pStyle w:val="Heading1"/>
      </w:pPr>
      <w:r w:rsidRPr="003B300B">
        <w:t xml:space="preserve">Equalities impact </w:t>
      </w:r>
    </w:p>
    <w:p w14:paraId="4AB9BD9B" w14:textId="416ED4A6" w:rsidR="00ED4A4E" w:rsidRPr="003B300B" w:rsidRDefault="00ED4A4E" w:rsidP="00ED4A4E">
      <w:pPr>
        <w:pStyle w:val="ListParagraph"/>
      </w:pPr>
      <w:r w:rsidRPr="003B300B">
        <w:t xml:space="preserve">The </w:t>
      </w:r>
      <w:proofErr w:type="spellStart"/>
      <w:r w:rsidRPr="003B300B">
        <w:t>E</w:t>
      </w:r>
      <w:r w:rsidR="004C503A">
        <w:t>q</w:t>
      </w:r>
      <w:r w:rsidRPr="003B300B">
        <w:t>IA</w:t>
      </w:r>
      <w:proofErr w:type="spellEnd"/>
      <w:r w:rsidRPr="003B300B">
        <w:t xml:space="preserve"> is attached at Appendix </w:t>
      </w:r>
      <w:r w:rsidR="006A7D21">
        <w:t>5</w:t>
      </w:r>
      <w:r w:rsidRPr="003B300B">
        <w:t>.</w:t>
      </w:r>
      <w:r w:rsidR="00C536DF">
        <w:t xml:space="preserve"> Positive impacts on equalities, diversity and inclusion will be sought to try and ensure we have a world class city centre for everyone. Equalities Impacts will be monitored annually.</w:t>
      </w:r>
    </w:p>
    <w:p w14:paraId="066B8D74" w14:textId="55579812" w:rsidR="00FB3B71" w:rsidRPr="003B300B" w:rsidRDefault="00FB3B71" w:rsidP="00FB3B71">
      <w:pPr>
        <w:pStyle w:val="bParagraphtext"/>
        <w:numPr>
          <w:ilvl w:val="0"/>
          <w:numId w:val="0"/>
        </w:numPr>
      </w:pPr>
      <w:r w:rsidRPr="003B300B">
        <w:rPr>
          <w:b/>
        </w:rPr>
        <w:t xml:space="preserve">Environmental </w:t>
      </w:r>
      <w:r w:rsidR="00691BC4">
        <w:rPr>
          <w:b/>
        </w:rPr>
        <w:t>and Carbon Considerations</w:t>
      </w:r>
    </w:p>
    <w:p w14:paraId="7DC86BC0" w14:textId="77777777" w:rsidR="00691BC4" w:rsidRPr="00691BC4" w:rsidRDefault="00691BC4" w:rsidP="00C536DF">
      <w:pPr>
        <w:pStyle w:val="ListParagraph"/>
        <w:jc w:val="both"/>
      </w:pPr>
      <w:r w:rsidRPr="00691BC4">
        <w:t>The Environmental Sustainability Service has been closely involved in development of the CCAP, which is closely aligned with Oxford’s Economic Strategy’s commitment to transitioning to Net Zero as one of its three key pillars of the strategy. The CCAP is aligned with the city’s declaration of a climate and ecological emergency. In 2019, Oxford was the first UK city to hold a Citizens Assembly on Climate Change. This representative sample of Oxford’s residents concluded that Oxford should decarbonise faster than national targets. The City Council has a target to achieve Net Zero across its own operations by 2030. Projects developed through the Plan will all be assessed for their impact on Carbon reduction targets. There are many projects, proposed and in progress, which make inroads into the net zero and wider sustainability agenda around including; the Zero Emission Zone, the West End development, Oxford Station, Park and ride enhancements and the Public Realm and Movement Strategy.</w:t>
      </w:r>
    </w:p>
    <w:p w14:paraId="0F22A770" w14:textId="36A9816B" w:rsidR="003307C4" w:rsidRPr="003307C4" w:rsidRDefault="00C536DF" w:rsidP="003307C4">
      <w:pPr>
        <w:pStyle w:val="bParagraphtext"/>
        <w:numPr>
          <w:ilvl w:val="0"/>
          <w:numId w:val="0"/>
        </w:numPr>
        <w:rPr>
          <w:b/>
        </w:rPr>
      </w:pPr>
      <w:r>
        <w:rPr>
          <w:b/>
        </w:rPr>
        <w:t>C</w:t>
      </w:r>
      <w:r w:rsidR="003307C4" w:rsidRPr="003307C4">
        <w:rPr>
          <w:b/>
        </w:rPr>
        <w:t xml:space="preserve">onclusion </w:t>
      </w:r>
    </w:p>
    <w:p w14:paraId="34CA8301" w14:textId="778A5B9C" w:rsidR="00986982" w:rsidRDefault="00A00184" w:rsidP="003307C4">
      <w:pPr>
        <w:pStyle w:val="bParagraphtext"/>
      </w:pPr>
      <w:r w:rsidRPr="003307C4">
        <w:t>A lengthy process of development has been undertaken for the CCAP, taking account of available evidence and the impacts of the Pandemic</w:t>
      </w:r>
      <w:r w:rsidR="004C503A">
        <w:t xml:space="preserve">. This has been followed by a two </w:t>
      </w:r>
      <w:r w:rsidRPr="003307C4">
        <w:t>month period of consultation</w:t>
      </w:r>
      <w:r w:rsidR="009A1428">
        <w:t xml:space="preserve"> for the CCAP</w:t>
      </w:r>
      <w:r w:rsidRPr="003307C4">
        <w:t xml:space="preserve">. </w:t>
      </w:r>
    </w:p>
    <w:p w14:paraId="3F7E3074" w14:textId="3FD9E766" w:rsidR="00E206D6" w:rsidRDefault="00A00184" w:rsidP="003E5284">
      <w:pPr>
        <w:pStyle w:val="bParagraphtext"/>
        <w:numPr>
          <w:ilvl w:val="0"/>
          <w:numId w:val="0"/>
        </w:numPr>
        <w:ind w:left="360"/>
      </w:pPr>
      <w:r w:rsidRPr="003307C4">
        <w:t xml:space="preserve">Given the </w:t>
      </w:r>
      <w:r w:rsidR="00CE02BE">
        <w:t>level and positivity of</w:t>
      </w:r>
      <w:r w:rsidRPr="003307C4">
        <w:t xml:space="preserve"> response</w:t>
      </w:r>
      <w:r w:rsidR="00CE02BE">
        <w:t>s</w:t>
      </w:r>
      <w:r w:rsidR="00986982">
        <w:t>,</w:t>
      </w:r>
      <w:r w:rsidRPr="003307C4">
        <w:t xml:space="preserve"> </w:t>
      </w:r>
      <w:r w:rsidR="00CE02BE">
        <w:t xml:space="preserve">stakeholder </w:t>
      </w:r>
      <w:r w:rsidRPr="003307C4">
        <w:t xml:space="preserve">interest and the </w:t>
      </w:r>
      <w:r w:rsidR="00117177">
        <w:t>need to drive the plan forward</w:t>
      </w:r>
      <w:r w:rsidRPr="003E2636">
        <w:rPr>
          <w:color w:val="000000" w:themeColor="text1"/>
        </w:rPr>
        <w:t xml:space="preserve">, it is recommended that </w:t>
      </w:r>
      <w:r w:rsidR="00986982" w:rsidRPr="003E2636">
        <w:rPr>
          <w:color w:val="000000" w:themeColor="text1"/>
        </w:rPr>
        <w:t>the changes are approved, that the CCAP is adopted</w:t>
      </w:r>
      <w:r w:rsidR="00A32EA2">
        <w:rPr>
          <w:color w:val="000000" w:themeColor="text1"/>
        </w:rPr>
        <w:t>, published</w:t>
      </w:r>
      <w:r w:rsidR="00986982" w:rsidRPr="003E2636">
        <w:rPr>
          <w:color w:val="000000" w:themeColor="text1"/>
        </w:rPr>
        <w:t xml:space="preserve"> and </w:t>
      </w:r>
      <w:r w:rsidR="00986982">
        <w:t xml:space="preserve">that </w:t>
      </w:r>
      <w:r w:rsidRPr="003307C4">
        <w:t>resource</w:t>
      </w:r>
      <w:r w:rsidR="003F548D">
        <w:t>s</w:t>
      </w:r>
      <w:r w:rsidRPr="003307C4">
        <w:t xml:space="preserve"> </w:t>
      </w:r>
      <w:r w:rsidR="003F548D">
        <w:t>are</w:t>
      </w:r>
      <w:r w:rsidRPr="003307C4">
        <w:t xml:space="preserve"> now geared towards delivering the aims and </w:t>
      </w:r>
      <w:r w:rsidR="001D33A0" w:rsidRPr="003307C4">
        <w:t>objectives</w:t>
      </w:r>
      <w:r w:rsidRPr="003307C4">
        <w:t xml:space="preserve"> alongside</w:t>
      </w:r>
      <w:r w:rsidR="00A32EA2">
        <w:t xml:space="preserve"> stakeholders.</w:t>
      </w:r>
      <w:r w:rsidR="001D33A0" w:rsidRPr="003307C4">
        <w:t xml:space="preserve"> </w:t>
      </w:r>
    </w:p>
    <w:p w14:paraId="6715B7E4"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583C7FB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73C994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7AD1A88F" w14:textId="77777777" w:rsidR="00E87F7A" w:rsidRPr="001356F1" w:rsidRDefault="000A37CA" w:rsidP="00A46E98">
            <w:r>
              <w:t>Matt Peachey</w:t>
            </w:r>
          </w:p>
        </w:tc>
      </w:tr>
      <w:tr w:rsidR="00DF093E" w:rsidRPr="001356F1" w14:paraId="163D863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3FD775D"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DD8EE5F" w14:textId="77777777" w:rsidR="00E87F7A" w:rsidRPr="001356F1" w:rsidRDefault="000A37CA" w:rsidP="00A46E98">
            <w:r>
              <w:t>Economic Development Manager</w:t>
            </w:r>
          </w:p>
        </w:tc>
      </w:tr>
      <w:tr w:rsidR="00DF093E" w:rsidRPr="001356F1" w14:paraId="32C398BB" w14:textId="77777777" w:rsidTr="00A46E98">
        <w:trPr>
          <w:cantSplit/>
          <w:trHeight w:val="396"/>
        </w:trPr>
        <w:tc>
          <w:tcPr>
            <w:tcW w:w="3969" w:type="dxa"/>
            <w:tcBorders>
              <w:top w:val="nil"/>
              <w:left w:val="single" w:sz="8" w:space="0" w:color="000000"/>
              <w:bottom w:val="nil"/>
              <w:right w:val="nil"/>
            </w:tcBorders>
            <w:shd w:val="clear" w:color="auto" w:fill="auto"/>
          </w:tcPr>
          <w:p w14:paraId="515274F9"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35E4680" w14:textId="77777777" w:rsidR="00E87F7A" w:rsidRPr="001356F1" w:rsidRDefault="000A37CA" w:rsidP="00A46E98">
            <w:r>
              <w:t xml:space="preserve">Regeneration &amp; Economy </w:t>
            </w:r>
          </w:p>
        </w:tc>
      </w:tr>
      <w:tr w:rsidR="00DF093E" w:rsidRPr="001356F1" w14:paraId="0FFB505F" w14:textId="77777777" w:rsidTr="00A46E98">
        <w:trPr>
          <w:cantSplit/>
          <w:trHeight w:val="396"/>
        </w:trPr>
        <w:tc>
          <w:tcPr>
            <w:tcW w:w="3969" w:type="dxa"/>
            <w:tcBorders>
              <w:top w:val="nil"/>
              <w:left w:val="single" w:sz="8" w:space="0" w:color="000000"/>
              <w:bottom w:val="nil"/>
              <w:right w:val="nil"/>
            </w:tcBorders>
            <w:shd w:val="clear" w:color="auto" w:fill="auto"/>
          </w:tcPr>
          <w:p w14:paraId="14C71DE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5D38DFF" w14:textId="77777777" w:rsidR="00E87F7A" w:rsidRPr="001356F1" w:rsidRDefault="00E87F7A" w:rsidP="000A37CA">
            <w:r w:rsidRPr="001356F1">
              <w:t xml:space="preserve">01865 </w:t>
            </w:r>
            <w:r w:rsidR="000A37CA">
              <w:t>252 879</w:t>
            </w:r>
            <w:r w:rsidRPr="001356F1">
              <w:t xml:space="preserve"> </w:t>
            </w:r>
          </w:p>
        </w:tc>
      </w:tr>
      <w:tr w:rsidR="005570B5" w:rsidRPr="001356F1" w14:paraId="6E77CDA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747131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CB45D9B" w14:textId="77777777" w:rsidR="00E87F7A" w:rsidRPr="001356F1" w:rsidRDefault="00FB5507" w:rsidP="00A46E98">
            <w:pPr>
              <w:rPr>
                <w:rStyle w:val="Hyperlink"/>
                <w:color w:val="000000"/>
              </w:rPr>
            </w:pPr>
            <w:hyperlink r:id="rId11" w:history="1">
              <w:r w:rsidR="000A37CA" w:rsidRPr="009E45AF">
                <w:rPr>
                  <w:rStyle w:val="Hyperlink"/>
                </w:rPr>
                <w:t>mpeachey@oxford.gov.uk</w:t>
              </w:r>
            </w:hyperlink>
            <w:r w:rsidR="000A37CA">
              <w:rPr>
                <w:rStyle w:val="Hyperlink"/>
                <w:color w:val="000000"/>
              </w:rPr>
              <w:t xml:space="preserve"> </w:t>
            </w:r>
          </w:p>
        </w:tc>
      </w:tr>
    </w:tbl>
    <w:p w14:paraId="0518C74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6EA433F" w14:textId="77777777" w:rsidTr="005B3144">
        <w:tc>
          <w:tcPr>
            <w:tcW w:w="8931" w:type="dxa"/>
            <w:tcBorders>
              <w:top w:val="single" w:sz="4" w:space="0" w:color="auto"/>
              <w:left w:val="single" w:sz="4" w:space="0" w:color="auto"/>
              <w:bottom w:val="single" w:sz="4" w:space="0" w:color="auto"/>
              <w:right w:val="single" w:sz="4" w:space="0" w:color="auto"/>
            </w:tcBorders>
            <w:shd w:val="clear" w:color="auto" w:fill="auto"/>
          </w:tcPr>
          <w:p w14:paraId="22A09E6B"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603CCB8" w14:textId="77777777" w:rsidR="004C503A" w:rsidRDefault="004C503A" w:rsidP="00C85B4E">
      <w:pPr>
        <w:rPr>
          <w:b/>
        </w:rPr>
      </w:pPr>
    </w:p>
    <w:sectPr w:rsidR="004C503A" w:rsidSect="002B6836">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E8001" w14:textId="77777777" w:rsidR="00FB3B71" w:rsidRDefault="00FB3B71" w:rsidP="004A6D2F">
      <w:r>
        <w:separator/>
      </w:r>
    </w:p>
  </w:endnote>
  <w:endnote w:type="continuationSeparator" w:id="0">
    <w:p w14:paraId="20165289"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2E84" w14:textId="77777777" w:rsidR="00364FAD" w:rsidRDefault="00364FAD" w:rsidP="004A6D2F">
    <w:pPr>
      <w:pStyle w:val="Footer"/>
    </w:pPr>
    <w:r>
      <w:t>Do not use a footer or page numbers.</w:t>
    </w:r>
  </w:p>
  <w:p w14:paraId="0DE45014" w14:textId="77777777" w:rsidR="00364FAD" w:rsidRDefault="00364FAD" w:rsidP="004A6D2F">
    <w:pPr>
      <w:pStyle w:val="Footer"/>
    </w:pPr>
  </w:p>
  <w:p w14:paraId="0AE0C5B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339389"/>
      <w:docPartObj>
        <w:docPartGallery w:val="Page Numbers (Bottom of Page)"/>
        <w:docPartUnique/>
      </w:docPartObj>
    </w:sdtPr>
    <w:sdtEndPr>
      <w:rPr>
        <w:noProof/>
      </w:rPr>
    </w:sdtEndPr>
    <w:sdtContent>
      <w:p w14:paraId="4A1AD77A" w14:textId="7B84535A" w:rsidR="004C503A" w:rsidRDefault="004C503A">
        <w:pPr>
          <w:pStyle w:val="Footer"/>
          <w:jc w:val="center"/>
        </w:pPr>
        <w:r>
          <w:fldChar w:fldCharType="begin"/>
        </w:r>
        <w:r>
          <w:instrText xml:space="preserve"> PAGE   \* MERGEFORMAT </w:instrText>
        </w:r>
        <w:r>
          <w:fldChar w:fldCharType="separate"/>
        </w:r>
        <w:r w:rsidR="00FB5507">
          <w:rPr>
            <w:noProof/>
          </w:rPr>
          <w:t>5</w:t>
        </w:r>
        <w:r>
          <w:rPr>
            <w:noProof/>
          </w:rPr>
          <w:fldChar w:fldCharType="end"/>
        </w:r>
      </w:p>
    </w:sdtContent>
  </w:sdt>
  <w:p w14:paraId="56670AEC" w14:textId="77777777" w:rsidR="004C503A" w:rsidRDefault="004C5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4473" w14:textId="726AE5DD" w:rsidR="004B11AE" w:rsidRPr="000A1E45" w:rsidRDefault="006A6ED5" w:rsidP="004B11AE">
    <w:pPr>
      <w:pStyle w:val="Footer"/>
      <w:rPr>
        <w:color w:val="auto"/>
        <w:sz w:val="16"/>
        <w:szCs w:val="16"/>
      </w:rPr>
    </w:pPr>
    <w:r>
      <w:rPr>
        <w:color w:val="auto"/>
        <w:sz w:val="16"/>
        <w:szCs w:val="16"/>
      </w:rPr>
      <w:t>12</w:t>
    </w:r>
    <w:r w:rsidR="00B56675" w:rsidRPr="000A1E45">
      <w:rPr>
        <w:color w:val="auto"/>
        <w:sz w:val="16"/>
        <w:szCs w:val="16"/>
      </w:rPr>
      <w:t xml:space="preserve"> May 2022</w:t>
    </w:r>
  </w:p>
  <w:p w14:paraId="57D8A50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6BCE" w14:textId="77777777" w:rsidR="00FB3B71" w:rsidRDefault="00FB3B71" w:rsidP="004A6D2F">
      <w:r>
        <w:separator/>
      </w:r>
    </w:p>
  </w:footnote>
  <w:footnote w:type="continuationSeparator" w:id="0">
    <w:p w14:paraId="2849944B" w14:textId="77777777" w:rsidR="00FB3B71" w:rsidRDefault="00FB3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45AF" w14:textId="77777777" w:rsidR="00D5547E" w:rsidRDefault="00C05260" w:rsidP="00D5547E">
    <w:pPr>
      <w:pStyle w:val="Header"/>
      <w:jc w:val="right"/>
    </w:pPr>
    <w:r>
      <w:rPr>
        <w:noProof/>
      </w:rPr>
      <w:drawing>
        <wp:inline distT="0" distB="0" distL="0" distR="0" wp14:anchorId="38B8E133" wp14:editId="27A436B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210838"/>
    <w:multiLevelType w:val="multilevel"/>
    <w:tmpl w:val="1B26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146693"/>
    <w:multiLevelType w:val="hybridMultilevel"/>
    <w:tmpl w:val="A5EE2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263A6A"/>
    <w:multiLevelType w:val="multilevel"/>
    <w:tmpl w:val="43D6D2FA"/>
    <w:numStyleLink w:val="StyleBulletedSymbolsymbolLeft063cmHanging063cm"/>
  </w:abstractNum>
  <w:abstractNum w:abstractNumId="20" w15:restartNumberingAfterBreak="0">
    <w:nsid w:val="23314D63"/>
    <w:multiLevelType w:val="multilevel"/>
    <w:tmpl w:val="1E4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5805B13"/>
    <w:multiLevelType w:val="multilevel"/>
    <w:tmpl w:val="52E2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387355"/>
    <w:multiLevelType w:val="hybridMultilevel"/>
    <w:tmpl w:val="CC9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26253A"/>
    <w:multiLevelType w:val="hybridMultilevel"/>
    <w:tmpl w:val="C3BCA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1D95F1B"/>
    <w:multiLevelType w:val="hybridMultilevel"/>
    <w:tmpl w:val="93828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BA2B5F"/>
    <w:multiLevelType w:val="hybridMultilevel"/>
    <w:tmpl w:val="235CD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29222B"/>
    <w:multiLevelType w:val="hybridMultilevel"/>
    <w:tmpl w:val="2076B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BA5FD8"/>
    <w:multiLevelType w:val="multilevel"/>
    <w:tmpl w:val="43D6D2FA"/>
    <w:numStyleLink w:val="StyleBulletedSymbolsymbolLeft063cmHanging063cm"/>
  </w:abstractNum>
  <w:abstractNum w:abstractNumId="36"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4740479"/>
    <w:multiLevelType w:val="hybridMultilevel"/>
    <w:tmpl w:val="F592A2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AB43ED"/>
    <w:multiLevelType w:val="hybridMultilevel"/>
    <w:tmpl w:val="16AC0C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98365C6"/>
    <w:multiLevelType w:val="multilevel"/>
    <w:tmpl w:val="E67CE66C"/>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F815CED"/>
    <w:multiLevelType w:val="multilevel"/>
    <w:tmpl w:val="996AEF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33"/>
  </w:num>
  <w:num w:numId="2">
    <w:abstractNumId w:val="40"/>
  </w:num>
  <w:num w:numId="3">
    <w:abstractNumId w:val="30"/>
  </w:num>
  <w:num w:numId="4">
    <w:abstractNumId w:val="22"/>
  </w:num>
  <w:num w:numId="5">
    <w:abstractNumId w:val="36"/>
  </w:num>
  <w:num w:numId="6">
    <w:abstractNumId w:val="41"/>
  </w:num>
  <w:num w:numId="7">
    <w:abstractNumId w:val="29"/>
  </w:num>
  <w:num w:numId="8">
    <w:abstractNumId w:val="24"/>
  </w:num>
  <w:num w:numId="9">
    <w:abstractNumId w:val="13"/>
  </w:num>
  <w:num w:numId="10">
    <w:abstractNumId w:val="17"/>
  </w:num>
  <w:num w:numId="11">
    <w:abstractNumId w:val="32"/>
  </w:num>
  <w:num w:numId="12">
    <w:abstractNumId w:val="31"/>
  </w:num>
  <w:num w:numId="13">
    <w:abstractNumId w:val="10"/>
  </w:num>
  <w:num w:numId="14">
    <w:abstractNumId w:val="43"/>
  </w:num>
  <w:num w:numId="15">
    <w:abstractNumId w:val="18"/>
  </w:num>
  <w:num w:numId="16">
    <w:abstractNumId w:val="11"/>
  </w:num>
  <w:num w:numId="17">
    <w:abstractNumId w:val="35"/>
  </w:num>
  <w:num w:numId="18">
    <w:abstractNumId w:val="12"/>
  </w:num>
  <w:num w:numId="19">
    <w:abstractNumId w:val="37"/>
  </w:num>
  <w:num w:numId="20">
    <w:abstractNumId w:val="19"/>
  </w:num>
  <w:num w:numId="21">
    <w:abstractNumId w:val="26"/>
  </w:num>
  <w:num w:numId="22">
    <w:abstractNumId w:val="14"/>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34"/>
  </w:num>
  <w:num w:numId="36">
    <w:abstractNumId w:val="16"/>
  </w:num>
  <w:num w:numId="37">
    <w:abstractNumId w:val="28"/>
  </w:num>
  <w:num w:numId="38">
    <w:abstractNumId w:val="25"/>
  </w:num>
  <w:num w:numId="39">
    <w:abstractNumId w:val="20"/>
  </w:num>
  <w:num w:numId="40">
    <w:abstractNumId w:val="15"/>
  </w:num>
  <w:num w:numId="41">
    <w:abstractNumId w:val="21"/>
  </w:num>
  <w:num w:numId="42">
    <w:abstractNumId w:val="42"/>
  </w:num>
  <w:num w:numId="43">
    <w:abstractNumId w:val="27"/>
  </w:num>
  <w:num w:numId="44">
    <w:abstractNumId w:val="38"/>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45F8B"/>
    <w:rsid w:val="00046D2B"/>
    <w:rsid w:val="00054889"/>
    <w:rsid w:val="00056263"/>
    <w:rsid w:val="00064D8A"/>
    <w:rsid w:val="00064F82"/>
    <w:rsid w:val="00066510"/>
    <w:rsid w:val="00077523"/>
    <w:rsid w:val="000876A6"/>
    <w:rsid w:val="000A1E45"/>
    <w:rsid w:val="000A37CA"/>
    <w:rsid w:val="000B12E8"/>
    <w:rsid w:val="000B1DFC"/>
    <w:rsid w:val="000C089F"/>
    <w:rsid w:val="000C15E8"/>
    <w:rsid w:val="000C3928"/>
    <w:rsid w:val="000C5E8E"/>
    <w:rsid w:val="000E01FD"/>
    <w:rsid w:val="000F4751"/>
    <w:rsid w:val="000F55CB"/>
    <w:rsid w:val="0010524C"/>
    <w:rsid w:val="00111FB1"/>
    <w:rsid w:val="00113418"/>
    <w:rsid w:val="00115444"/>
    <w:rsid w:val="00117177"/>
    <w:rsid w:val="001356F1"/>
    <w:rsid w:val="00136994"/>
    <w:rsid w:val="0014128E"/>
    <w:rsid w:val="00151888"/>
    <w:rsid w:val="00170A2D"/>
    <w:rsid w:val="001808BC"/>
    <w:rsid w:val="00182B81"/>
    <w:rsid w:val="0018619D"/>
    <w:rsid w:val="001A011E"/>
    <w:rsid w:val="001A066A"/>
    <w:rsid w:val="001A13E6"/>
    <w:rsid w:val="001A5731"/>
    <w:rsid w:val="001A6D6B"/>
    <w:rsid w:val="001B42C3"/>
    <w:rsid w:val="001C4EC4"/>
    <w:rsid w:val="001C5D5E"/>
    <w:rsid w:val="001D33A0"/>
    <w:rsid w:val="001D678D"/>
    <w:rsid w:val="001E03F8"/>
    <w:rsid w:val="001E1678"/>
    <w:rsid w:val="001E314E"/>
    <w:rsid w:val="001E3376"/>
    <w:rsid w:val="00202425"/>
    <w:rsid w:val="002026FF"/>
    <w:rsid w:val="002069B3"/>
    <w:rsid w:val="002141BC"/>
    <w:rsid w:val="0022184F"/>
    <w:rsid w:val="002309AC"/>
    <w:rsid w:val="002329CF"/>
    <w:rsid w:val="00232F5B"/>
    <w:rsid w:val="002468CB"/>
    <w:rsid w:val="00247C29"/>
    <w:rsid w:val="00260467"/>
    <w:rsid w:val="00263163"/>
    <w:rsid w:val="00263EA3"/>
    <w:rsid w:val="00284F85"/>
    <w:rsid w:val="002870C3"/>
    <w:rsid w:val="00290915"/>
    <w:rsid w:val="0029623A"/>
    <w:rsid w:val="002A22E2"/>
    <w:rsid w:val="002B6836"/>
    <w:rsid w:val="002C64F7"/>
    <w:rsid w:val="002F41F2"/>
    <w:rsid w:val="00301BF3"/>
    <w:rsid w:val="0030208D"/>
    <w:rsid w:val="00305294"/>
    <w:rsid w:val="00310BE2"/>
    <w:rsid w:val="003126AC"/>
    <w:rsid w:val="00314508"/>
    <w:rsid w:val="00323418"/>
    <w:rsid w:val="003252BF"/>
    <w:rsid w:val="003307C4"/>
    <w:rsid w:val="003357BF"/>
    <w:rsid w:val="003510E5"/>
    <w:rsid w:val="003602F8"/>
    <w:rsid w:val="00363FB4"/>
    <w:rsid w:val="00364FAD"/>
    <w:rsid w:val="0036738F"/>
    <w:rsid w:val="0036759C"/>
    <w:rsid w:val="00367AE5"/>
    <w:rsid w:val="00367D71"/>
    <w:rsid w:val="00372CDC"/>
    <w:rsid w:val="0038150A"/>
    <w:rsid w:val="003929EE"/>
    <w:rsid w:val="003B1B05"/>
    <w:rsid w:val="003B300B"/>
    <w:rsid w:val="003B6E75"/>
    <w:rsid w:val="003B7DA1"/>
    <w:rsid w:val="003D0379"/>
    <w:rsid w:val="003D1A9B"/>
    <w:rsid w:val="003D2574"/>
    <w:rsid w:val="003D4131"/>
    <w:rsid w:val="003D4C59"/>
    <w:rsid w:val="003E2636"/>
    <w:rsid w:val="003E5284"/>
    <w:rsid w:val="003F4267"/>
    <w:rsid w:val="003F548D"/>
    <w:rsid w:val="003F6310"/>
    <w:rsid w:val="00404032"/>
    <w:rsid w:val="0040736F"/>
    <w:rsid w:val="00412C1F"/>
    <w:rsid w:val="00421CB2"/>
    <w:rsid w:val="004268B9"/>
    <w:rsid w:val="00432CE4"/>
    <w:rsid w:val="004332DA"/>
    <w:rsid w:val="00433B96"/>
    <w:rsid w:val="004440F1"/>
    <w:rsid w:val="004456DD"/>
    <w:rsid w:val="00446B8D"/>
    <w:rsid w:val="00446CDF"/>
    <w:rsid w:val="004521B7"/>
    <w:rsid w:val="00454453"/>
    <w:rsid w:val="004548E0"/>
    <w:rsid w:val="00462AB5"/>
    <w:rsid w:val="00465EAF"/>
    <w:rsid w:val="004738C5"/>
    <w:rsid w:val="0047737B"/>
    <w:rsid w:val="0048788D"/>
    <w:rsid w:val="00491046"/>
    <w:rsid w:val="00496078"/>
    <w:rsid w:val="00497EF4"/>
    <w:rsid w:val="004A2AC7"/>
    <w:rsid w:val="004A6D2F"/>
    <w:rsid w:val="004B11AE"/>
    <w:rsid w:val="004C2887"/>
    <w:rsid w:val="004C503A"/>
    <w:rsid w:val="004D1370"/>
    <w:rsid w:val="004D2626"/>
    <w:rsid w:val="004D6E26"/>
    <w:rsid w:val="004D77D3"/>
    <w:rsid w:val="004E2959"/>
    <w:rsid w:val="004E5B20"/>
    <w:rsid w:val="004F20EF"/>
    <w:rsid w:val="004F6DB1"/>
    <w:rsid w:val="005016ED"/>
    <w:rsid w:val="0050321C"/>
    <w:rsid w:val="00507ECC"/>
    <w:rsid w:val="005157AF"/>
    <w:rsid w:val="00534FB6"/>
    <w:rsid w:val="0054712D"/>
    <w:rsid w:val="00547EF6"/>
    <w:rsid w:val="005570B5"/>
    <w:rsid w:val="00567E18"/>
    <w:rsid w:val="00575F5F"/>
    <w:rsid w:val="00581805"/>
    <w:rsid w:val="00584365"/>
    <w:rsid w:val="00584410"/>
    <w:rsid w:val="00585F76"/>
    <w:rsid w:val="005A146D"/>
    <w:rsid w:val="005A34E4"/>
    <w:rsid w:val="005A6610"/>
    <w:rsid w:val="005B17F2"/>
    <w:rsid w:val="005B3144"/>
    <w:rsid w:val="005B64FE"/>
    <w:rsid w:val="005B7FB0"/>
    <w:rsid w:val="005C35A5"/>
    <w:rsid w:val="005C577C"/>
    <w:rsid w:val="005C761A"/>
    <w:rsid w:val="005D0621"/>
    <w:rsid w:val="005D1E27"/>
    <w:rsid w:val="005D2A3E"/>
    <w:rsid w:val="005E022E"/>
    <w:rsid w:val="005E5215"/>
    <w:rsid w:val="005F7F7E"/>
    <w:rsid w:val="00614693"/>
    <w:rsid w:val="00623C2F"/>
    <w:rsid w:val="00633578"/>
    <w:rsid w:val="00637068"/>
    <w:rsid w:val="00641CC2"/>
    <w:rsid w:val="00650811"/>
    <w:rsid w:val="00661D3E"/>
    <w:rsid w:val="00691BC4"/>
    <w:rsid w:val="00692333"/>
    <w:rsid w:val="00692627"/>
    <w:rsid w:val="006969E7"/>
    <w:rsid w:val="006A3643"/>
    <w:rsid w:val="006A6ED5"/>
    <w:rsid w:val="006A7D21"/>
    <w:rsid w:val="006B10C2"/>
    <w:rsid w:val="006C2A29"/>
    <w:rsid w:val="006C64CF"/>
    <w:rsid w:val="006C7684"/>
    <w:rsid w:val="006D17B1"/>
    <w:rsid w:val="006D4752"/>
    <w:rsid w:val="006D5676"/>
    <w:rsid w:val="006D708A"/>
    <w:rsid w:val="006E14C1"/>
    <w:rsid w:val="006F0292"/>
    <w:rsid w:val="006F27FA"/>
    <w:rsid w:val="006F416B"/>
    <w:rsid w:val="006F519B"/>
    <w:rsid w:val="0070291E"/>
    <w:rsid w:val="007126D0"/>
    <w:rsid w:val="00713675"/>
    <w:rsid w:val="00715823"/>
    <w:rsid w:val="007225BE"/>
    <w:rsid w:val="007253EF"/>
    <w:rsid w:val="00737B93"/>
    <w:rsid w:val="00740BCD"/>
    <w:rsid w:val="00745BF0"/>
    <w:rsid w:val="00751EA3"/>
    <w:rsid w:val="007615FE"/>
    <w:rsid w:val="0076655C"/>
    <w:rsid w:val="00773E0F"/>
    <w:rsid w:val="007742DC"/>
    <w:rsid w:val="00791437"/>
    <w:rsid w:val="007B0C2C"/>
    <w:rsid w:val="007B278E"/>
    <w:rsid w:val="007B5CA2"/>
    <w:rsid w:val="007C3715"/>
    <w:rsid w:val="007C5C23"/>
    <w:rsid w:val="007D19EB"/>
    <w:rsid w:val="007E2A26"/>
    <w:rsid w:val="007F2348"/>
    <w:rsid w:val="007F4757"/>
    <w:rsid w:val="007F5DC9"/>
    <w:rsid w:val="00803F07"/>
    <w:rsid w:val="00804C26"/>
    <w:rsid w:val="0080749A"/>
    <w:rsid w:val="00811F99"/>
    <w:rsid w:val="00821FB8"/>
    <w:rsid w:val="00822ACD"/>
    <w:rsid w:val="00832C9B"/>
    <w:rsid w:val="00855C66"/>
    <w:rsid w:val="00871EE4"/>
    <w:rsid w:val="0087491B"/>
    <w:rsid w:val="00880C8B"/>
    <w:rsid w:val="008954DF"/>
    <w:rsid w:val="008B0171"/>
    <w:rsid w:val="008B293F"/>
    <w:rsid w:val="008B7371"/>
    <w:rsid w:val="008D3DDB"/>
    <w:rsid w:val="008E5E4E"/>
    <w:rsid w:val="008F3B04"/>
    <w:rsid w:val="008F573F"/>
    <w:rsid w:val="008F6224"/>
    <w:rsid w:val="008F73A7"/>
    <w:rsid w:val="009031D2"/>
    <w:rsid w:val="009034EC"/>
    <w:rsid w:val="0093067A"/>
    <w:rsid w:val="00940B20"/>
    <w:rsid w:val="00941C60"/>
    <w:rsid w:val="00941FD1"/>
    <w:rsid w:val="009532F7"/>
    <w:rsid w:val="00966D42"/>
    <w:rsid w:val="00971689"/>
    <w:rsid w:val="0097170F"/>
    <w:rsid w:val="00973E90"/>
    <w:rsid w:val="00975B07"/>
    <w:rsid w:val="00980B4A"/>
    <w:rsid w:val="00986982"/>
    <w:rsid w:val="009A1428"/>
    <w:rsid w:val="009A6E53"/>
    <w:rsid w:val="009B3E8A"/>
    <w:rsid w:val="009C7310"/>
    <w:rsid w:val="009C7CB9"/>
    <w:rsid w:val="009E3D0A"/>
    <w:rsid w:val="009E51FC"/>
    <w:rsid w:val="009F1D28"/>
    <w:rsid w:val="009F2995"/>
    <w:rsid w:val="009F5028"/>
    <w:rsid w:val="009F7618"/>
    <w:rsid w:val="00A00184"/>
    <w:rsid w:val="00A04D23"/>
    <w:rsid w:val="00A06766"/>
    <w:rsid w:val="00A11457"/>
    <w:rsid w:val="00A1243A"/>
    <w:rsid w:val="00A13765"/>
    <w:rsid w:val="00A13CAC"/>
    <w:rsid w:val="00A16988"/>
    <w:rsid w:val="00A21B12"/>
    <w:rsid w:val="00A23F80"/>
    <w:rsid w:val="00A32EA2"/>
    <w:rsid w:val="00A42416"/>
    <w:rsid w:val="00A46E98"/>
    <w:rsid w:val="00A52ADA"/>
    <w:rsid w:val="00A6352B"/>
    <w:rsid w:val="00A701B5"/>
    <w:rsid w:val="00A714BB"/>
    <w:rsid w:val="00A77147"/>
    <w:rsid w:val="00A909B3"/>
    <w:rsid w:val="00A92D8F"/>
    <w:rsid w:val="00A94395"/>
    <w:rsid w:val="00AB2988"/>
    <w:rsid w:val="00AB7999"/>
    <w:rsid w:val="00AD3292"/>
    <w:rsid w:val="00AE1684"/>
    <w:rsid w:val="00AE7AF0"/>
    <w:rsid w:val="00AF5B43"/>
    <w:rsid w:val="00B2463F"/>
    <w:rsid w:val="00B33853"/>
    <w:rsid w:val="00B37217"/>
    <w:rsid w:val="00B500CA"/>
    <w:rsid w:val="00B56675"/>
    <w:rsid w:val="00B80151"/>
    <w:rsid w:val="00B86314"/>
    <w:rsid w:val="00B97F59"/>
    <w:rsid w:val="00BA1C2E"/>
    <w:rsid w:val="00BA4D12"/>
    <w:rsid w:val="00BC077B"/>
    <w:rsid w:val="00BC200B"/>
    <w:rsid w:val="00BC4756"/>
    <w:rsid w:val="00BC5D59"/>
    <w:rsid w:val="00BC69A4"/>
    <w:rsid w:val="00BE0680"/>
    <w:rsid w:val="00BE305F"/>
    <w:rsid w:val="00BE7BA3"/>
    <w:rsid w:val="00BF5682"/>
    <w:rsid w:val="00BF7B09"/>
    <w:rsid w:val="00C0299D"/>
    <w:rsid w:val="00C05260"/>
    <w:rsid w:val="00C076B9"/>
    <w:rsid w:val="00C13356"/>
    <w:rsid w:val="00C20A95"/>
    <w:rsid w:val="00C2692F"/>
    <w:rsid w:val="00C27270"/>
    <w:rsid w:val="00C3207C"/>
    <w:rsid w:val="00C400E1"/>
    <w:rsid w:val="00C41187"/>
    <w:rsid w:val="00C440C6"/>
    <w:rsid w:val="00C536DF"/>
    <w:rsid w:val="00C63C31"/>
    <w:rsid w:val="00C6412F"/>
    <w:rsid w:val="00C70D4D"/>
    <w:rsid w:val="00C757A0"/>
    <w:rsid w:val="00C760DE"/>
    <w:rsid w:val="00C82630"/>
    <w:rsid w:val="00C85B4E"/>
    <w:rsid w:val="00C86E78"/>
    <w:rsid w:val="00C907F7"/>
    <w:rsid w:val="00C937F7"/>
    <w:rsid w:val="00CA2103"/>
    <w:rsid w:val="00CA7334"/>
    <w:rsid w:val="00CB21E8"/>
    <w:rsid w:val="00CB6B99"/>
    <w:rsid w:val="00CE02BE"/>
    <w:rsid w:val="00CE4C87"/>
    <w:rsid w:val="00CE544A"/>
    <w:rsid w:val="00D11E1C"/>
    <w:rsid w:val="00D160B0"/>
    <w:rsid w:val="00D17F94"/>
    <w:rsid w:val="00D223FC"/>
    <w:rsid w:val="00D22896"/>
    <w:rsid w:val="00D26D1E"/>
    <w:rsid w:val="00D474CF"/>
    <w:rsid w:val="00D5547E"/>
    <w:rsid w:val="00D81BC3"/>
    <w:rsid w:val="00D82F3C"/>
    <w:rsid w:val="00D860E2"/>
    <w:rsid w:val="00D869A1"/>
    <w:rsid w:val="00DA413F"/>
    <w:rsid w:val="00DA4584"/>
    <w:rsid w:val="00DA614B"/>
    <w:rsid w:val="00DB7AD7"/>
    <w:rsid w:val="00DC3060"/>
    <w:rsid w:val="00DD005D"/>
    <w:rsid w:val="00DE0FB2"/>
    <w:rsid w:val="00DE4D9F"/>
    <w:rsid w:val="00DE50F0"/>
    <w:rsid w:val="00DE7A14"/>
    <w:rsid w:val="00DF093E"/>
    <w:rsid w:val="00DF6C6D"/>
    <w:rsid w:val="00E01F42"/>
    <w:rsid w:val="00E01F8A"/>
    <w:rsid w:val="00E206D6"/>
    <w:rsid w:val="00E335D1"/>
    <w:rsid w:val="00E3366E"/>
    <w:rsid w:val="00E462A3"/>
    <w:rsid w:val="00E52086"/>
    <w:rsid w:val="00E543A6"/>
    <w:rsid w:val="00E60479"/>
    <w:rsid w:val="00E61D73"/>
    <w:rsid w:val="00E73684"/>
    <w:rsid w:val="00E74425"/>
    <w:rsid w:val="00E77E25"/>
    <w:rsid w:val="00E818D6"/>
    <w:rsid w:val="00E87F7A"/>
    <w:rsid w:val="00E94B3E"/>
    <w:rsid w:val="00E96BD7"/>
    <w:rsid w:val="00E96BED"/>
    <w:rsid w:val="00EA0DB1"/>
    <w:rsid w:val="00EA0EE9"/>
    <w:rsid w:val="00EA6C14"/>
    <w:rsid w:val="00EB1398"/>
    <w:rsid w:val="00ED44DF"/>
    <w:rsid w:val="00ED4A4E"/>
    <w:rsid w:val="00ED52CA"/>
    <w:rsid w:val="00ED5860"/>
    <w:rsid w:val="00EE35C9"/>
    <w:rsid w:val="00F05ECA"/>
    <w:rsid w:val="00F26E21"/>
    <w:rsid w:val="00F3566E"/>
    <w:rsid w:val="00F375FB"/>
    <w:rsid w:val="00F41AC1"/>
    <w:rsid w:val="00F4367A"/>
    <w:rsid w:val="00F445B1"/>
    <w:rsid w:val="00F45CD4"/>
    <w:rsid w:val="00F53D01"/>
    <w:rsid w:val="00F66DCA"/>
    <w:rsid w:val="00F74F53"/>
    <w:rsid w:val="00F7606D"/>
    <w:rsid w:val="00F81670"/>
    <w:rsid w:val="00F82024"/>
    <w:rsid w:val="00F865A3"/>
    <w:rsid w:val="00F95BC9"/>
    <w:rsid w:val="00FA095B"/>
    <w:rsid w:val="00FA624C"/>
    <w:rsid w:val="00FB3B71"/>
    <w:rsid w:val="00FB5507"/>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176F90"/>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F4"/>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semiHidden/>
    <w:unhideWhenUsed/>
    <w:rsid w:val="00C86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8221">
      <w:bodyDiv w:val="1"/>
      <w:marLeft w:val="0"/>
      <w:marRight w:val="0"/>
      <w:marTop w:val="0"/>
      <w:marBottom w:val="0"/>
      <w:divBdr>
        <w:top w:val="none" w:sz="0" w:space="0" w:color="auto"/>
        <w:left w:val="none" w:sz="0" w:space="0" w:color="auto"/>
        <w:bottom w:val="none" w:sz="0" w:space="0" w:color="auto"/>
        <w:right w:val="none" w:sz="0" w:space="0" w:color="auto"/>
      </w:divBdr>
      <w:divsChild>
        <w:div w:id="365641035">
          <w:marLeft w:val="0"/>
          <w:marRight w:val="0"/>
          <w:marTop w:val="0"/>
          <w:marBottom w:val="0"/>
          <w:divBdr>
            <w:top w:val="none" w:sz="0" w:space="0" w:color="auto"/>
            <w:left w:val="none" w:sz="0" w:space="0" w:color="auto"/>
            <w:bottom w:val="none" w:sz="0" w:space="0" w:color="auto"/>
            <w:right w:val="none" w:sz="0" w:space="0" w:color="auto"/>
          </w:divBdr>
          <w:divsChild>
            <w:div w:id="1297754145">
              <w:marLeft w:val="0"/>
              <w:marRight w:val="0"/>
              <w:marTop w:val="0"/>
              <w:marBottom w:val="0"/>
              <w:divBdr>
                <w:top w:val="none" w:sz="0" w:space="0" w:color="auto"/>
                <w:left w:val="none" w:sz="0" w:space="0" w:color="auto"/>
                <w:bottom w:val="none" w:sz="0" w:space="0" w:color="auto"/>
                <w:right w:val="none" w:sz="0" w:space="0" w:color="auto"/>
              </w:divBdr>
            </w:div>
            <w:div w:id="52823255">
              <w:marLeft w:val="0"/>
              <w:marRight w:val="0"/>
              <w:marTop w:val="0"/>
              <w:marBottom w:val="0"/>
              <w:divBdr>
                <w:top w:val="none" w:sz="0" w:space="0" w:color="auto"/>
                <w:left w:val="none" w:sz="0" w:space="0" w:color="auto"/>
                <w:bottom w:val="none" w:sz="0" w:space="0" w:color="auto"/>
                <w:right w:val="none" w:sz="0" w:space="0" w:color="auto"/>
              </w:divBdr>
            </w:div>
            <w:div w:id="682898499">
              <w:marLeft w:val="0"/>
              <w:marRight w:val="0"/>
              <w:marTop w:val="0"/>
              <w:marBottom w:val="0"/>
              <w:divBdr>
                <w:top w:val="none" w:sz="0" w:space="0" w:color="auto"/>
                <w:left w:val="none" w:sz="0" w:space="0" w:color="auto"/>
                <w:bottom w:val="none" w:sz="0" w:space="0" w:color="auto"/>
                <w:right w:val="none" w:sz="0" w:space="0" w:color="auto"/>
              </w:divBdr>
            </w:div>
          </w:divsChild>
        </w:div>
        <w:div w:id="690497036">
          <w:marLeft w:val="0"/>
          <w:marRight w:val="0"/>
          <w:marTop w:val="0"/>
          <w:marBottom w:val="0"/>
          <w:divBdr>
            <w:top w:val="none" w:sz="0" w:space="0" w:color="auto"/>
            <w:left w:val="none" w:sz="0" w:space="0" w:color="auto"/>
            <w:bottom w:val="none" w:sz="0" w:space="0" w:color="auto"/>
            <w:right w:val="none" w:sz="0" w:space="0" w:color="auto"/>
          </w:divBdr>
          <w:divsChild>
            <w:div w:id="364645064">
              <w:marLeft w:val="0"/>
              <w:marRight w:val="0"/>
              <w:marTop w:val="0"/>
              <w:marBottom w:val="0"/>
              <w:divBdr>
                <w:top w:val="none" w:sz="0" w:space="0" w:color="auto"/>
                <w:left w:val="none" w:sz="0" w:space="0" w:color="auto"/>
                <w:bottom w:val="none" w:sz="0" w:space="0" w:color="auto"/>
                <w:right w:val="none" w:sz="0" w:space="0" w:color="auto"/>
              </w:divBdr>
            </w:div>
          </w:divsChild>
        </w:div>
        <w:div w:id="793407066">
          <w:marLeft w:val="0"/>
          <w:marRight w:val="0"/>
          <w:marTop w:val="0"/>
          <w:marBottom w:val="0"/>
          <w:divBdr>
            <w:top w:val="none" w:sz="0" w:space="0" w:color="auto"/>
            <w:left w:val="none" w:sz="0" w:space="0" w:color="auto"/>
            <w:bottom w:val="none" w:sz="0" w:space="0" w:color="auto"/>
            <w:right w:val="none" w:sz="0" w:space="0" w:color="auto"/>
          </w:divBdr>
          <w:divsChild>
            <w:div w:id="1084574346">
              <w:marLeft w:val="0"/>
              <w:marRight w:val="0"/>
              <w:marTop w:val="0"/>
              <w:marBottom w:val="0"/>
              <w:divBdr>
                <w:top w:val="none" w:sz="0" w:space="0" w:color="auto"/>
                <w:left w:val="none" w:sz="0" w:space="0" w:color="auto"/>
                <w:bottom w:val="none" w:sz="0" w:space="0" w:color="auto"/>
                <w:right w:val="none" w:sz="0" w:space="0" w:color="auto"/>
              </w:divBdr>
            </w:div>
            <w:div w:id="891962094">
              <w:marLeft w:val="0"/>
              <w:marRight w:val="0"/>
              <w:marTop w:val="0"/>
              <w:marBottom w:val="0"/>
              <w:divBdr>
                <w:top w:val="none" w:sz="0" w:space="0" w:color="auto"/>
                <w:left w:val="none" w:sz="0" w:space="0" w:color="auto"/>
                <w:bottom w:val="none" w:sz="0" w:space="0" w:color="auto"/>
                <w:right w:val="none" w:sz="0" w:space="0" w:color="auto"/>
              </w:divBdr>
            </w:div>
          </w:divsChild>
        </w:div>
        <w:div w:id="670138030">
          <w:marLeft w:val="0"/>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7420675">
      <w:bodyDiv w:val="1"/>
      <w:marLeft w:val="0"/>
      <w:marRight w:val="0"/>
      <w:marTop w:val="0"/>
      <w:marBottom w:val="0"/>
      <w:divBdr>
        <w:top w:val="none" w:sz="0" w:space="0" w:color="auto"/>
        <w:left w:val="none" w:sz="0" w:space="0" w:color="auto"/>
        <w:bottom w:val="none" w:sz="0" w:space="0" w:color="auto"/>
        <w:right w:val="none" w:sz="0" w:space="0" w:color="auto"/>
      </w:divBdr>
    </w:div>
    <w:div w:id="1544443545">
      <w:bodyDiv w:val="1"/>
      <w:marLeft w:val="0"/>
      <w:marRight w:val="0"/>
      <w:marTop w:val="0"/>
      <w:marBottom w:val="0"/>
      <w:divBdr>
        <w:top w:val="none" w:sz="0" w:space="0" w:color="auto"/>
        <w:left w:val="none" w:sz="0" w:space="0" w:color="auto"/>
        <w:bottom w:val="none" w:sz="0" w:space="0" w:color="auto"/>
        <w:right w:val="none" w:sz="0" w:space="0" w:color="auto"/>
      </w:divBdr>
    </w:div>
    <w:div w:id="20546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eachey@oxford.gov.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0856-D55F-464F-911C-FF77E047235A}">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3.xml><?xml version="1.0" encoding="utf-8"?>
<ds:datastoreItem xmlns:ds="http://schemas.openxmlformats.org/officeDocument/2006/customXml" ds:itemID="{9F637C43-2B88-40C2-A677-2A567769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36D66-07B7-43DB-9FFB-9B83E76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Andrew J</cp:lastModifiedBy>
  <cp:revision>3</cp:revision>
  <cp:lastPrinted>2015-07-03T13:50:00Z</cp:lastPrinted>
  <dcterms:created xsi:type="dcterms:W3CDTF">2022-05-27T15:03:00Z</dcterms:created>
  <dcterms:modified xsi:type="dcterms:W3CDTF">2022-05-27T18:23:00Z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